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C9D7" w14:textId="77777777" w:rsidR="00EF4BEC" w:rsidRDefault="00EF4BEC">
      <w:pPr>
        <w:rPr>
          <w:rFonts w:cs="Arial"/>
        </w:rPr>
      </w:pPr>
    </w:p>
    <w:p w14:paraId="23AB0D95" w14:textId="77777777" w:rsidR="00EF4BEC" w:rsidRDefault="00EF4BEC">
      <w:pPr>
        <w:rPr>
          <w:rFonts w:cs="Arial"/>
        </w:rPr>
      </w:pPr>
    </w:p>
    <w:p w14:paraId="7434C3C0" w14:textId="77777777" w:rsidR="00EF4BEC" w:rsidRDefault="00EF4BEC">
      <w:pPr>
        <w:rPr>
          <w:rFonts w:cs="Arial"/>
        </w:rPr>
      </w:pPr>
    </w:p>
    <w:p w14:paraId="2746868D" w14:textId="77777777" w:rsidR="00EF4BEC" w:rsidRDefault="00EF4BEC">
      <w:pPr>
        <w:rPr>
          <w:rFonts w:cs="Arial"/>
        </w:rPr>
      </w:pPr>
    </w:p>
    <w:p w14:paraId="57A494FB" w14:textId="77777777" w:rsidR="00EF4BEC" w:rsidRDefault="00EF4BEC">
      <w:pPr>
        <w:rPr>
          <w:rFonts w:cs="Arial"/>
        </w:rPr>
      </w:pPr>
    </w:p>
    <w:p w14:paraId="5FF43F24" w14:textId="77777777" w:rsidR="00EF4BEC" w:rsidRDefault="00EF4BEC">
      <w:pPr>
        <w:rPr>
          <w:rFonts w:cs="Arial"/>
        </w:rPr>
      </w:pPr>
    </w:p>
    <w:p w14:paraId="38273FBD" w14:textId="77777777" w:rsidR="00EF4BEC" w:rsidRDefault="00EF4BEC">
      <w:pPr>
        <w:rPr>
          <w:rFonts w:cs="Arial"/>
        </w:rPr>
      </w:pPr>
    </w:p>
    <w:p w14:paraId="54C51292" w14:textId="77777777" w:rsidR="00EF4BEC" w:rsidRDefault="00EF4BEC">
      <w:pPr>
        <w:rPr>
          <w:rFonts w:cs="Arial"/>
        </w:rPr>
      </w:pPr>
    </w:p>
    <w:p w14:paraId="27664DDF" w14:textId="77777777" w:rsidR="00EF4BEC" w:rsidRDefault="00EF4BEC">
      <w:pPr>
        <w:jc w:val="center"/>
        <w:rPr>
          <w:rFonts w:cs="Arial"/>
          <w:b/>
          <w:sz w:val="32"/>
          <w:szCs w:val="32"/>
        </w:rPr>
      </w:pPr>
    </w:p>
    <w:p w14:paraId="1AC62DE5" w14:textId="77777777" w:rsidR="00EF4BEC" w:rsidRDefault="009E2ACD">
      <w:pPr>
        <w:jc w:val="center"/>
        <w:rPr>
          <w:rFonts w:cs="Arial"/>
          <w:b/>
          <w:sz w:val="32"/>
          <w:szCs w:val="32"/>
          <w:lang w:val="it-IT"/>
        </w:rPr>
      </w:pPr>
      <w:r>
        <w:rPr>
          <w:rFonts w:cs="Arial"/>
          <w:b/>
          <w:sz w:val="32"/>
          <w:szCs w:val="32"/>
          <w:lang w:val="it-IT"/>
        </w:rPr>
        <w:t>ANALISI DI MEDICINA TRASFUSIONALE</w:t>
      </w:r>
    </w:p>
    <w:p w14:paraId="3FDB616A" w14:textId="77777777" w:rsidR="00EF4BEC" w:rsidRDefault="009E2ACD">
      <w:pPr>
        <w:jc w:val="center"/>
        <w:rPr>
          <w:rFonts w:cs="Arial"/>
          <w:b/>
          <w:sz w:val="32"/>
          <w:szCs w:val="32"/>
          <w:lang w:val="it-IT"/>
        </w:rPr>
      </w:pPr>
      <w:r>
        <w:rPr>
          <w:rFonts w:cs="Arial"/>
          <w:b/>
          <w:sz w:val="32"/>
          <w:szCs w:val="32"/>
          <w:lang w:val="it-IT"/>
        </w:rPr>
        <w:t>SUL PAZIENTE</w:t>
      </w:r>
    </w:p>
    <w:p w14:paraId="5E34F453" w14:textId="77777777" w:rsidR="00EF4BEC" w:rsidRDefault="00EF4BEC">
      <w:pPr>
        <w:rPr>
          <w:rFonts w:cs="Arial"/>
          <w:lang w:val="it-IT"/>
        </w:rPr>
      </w:pPr>
    </w:p>
    <w:p w14:paraId="308E05AC" w14:textId="77777777" w:rsidR="00EF4BEC" w:rsidRDefault="00EF4BEC">
      <w:pPr>
        <w:rPr>
          <w:rFonts w:cs="Arial"/>
          <w:lang w:val="it-IT"/>
        </w:rPr>
      </w:pPr>
    </w:p>
    <w:p w14:paraId="537C5214" w14:textId="77777777" w:rsidR="00EF4BEC" w:rsidRDefault="00EF4BEC">
      <w:pPr>
        <w:rPr>
          <w:rFonts w:cs="Arial"/>
          <w:lang w:val="it-IT"/>
        </w:rPr>
      </w:pPr>
    </w:p>
    <w:p w14:paraId="6365A4C0" w14:textId="77777777" w:rsidR="00EF4BEC" w:rsidRDefault="00EF4BEC">
      <w:pPr>
        <w:rPr>
          <w:rFonts w:cs="Arial"/>
          <w:lang w:val="it-IT"/>
        </w:rPr>
      </w:pPr>
    </w:p>
    <w:p w14:paraId="4D6E51A3" w14:textId="77777777" w:rsidR="00EF4BEC" w:rsidRDefault="00EF4BEC">
      <w:pPr>
        <w:rPr>
          <w:rFonts w:cs="Arial"/>
          <w:lang w:val="it-IT"/>
        </w:rPr>
      </w:pPr>
    </w:p>
    <w:p w14:paraId="1C3EA5AC" w14:textId="77777777" w:rsidR="00EF4BEC" w:rsidRDefault="00EF4BEC">
      <w:pPr>
        <w:rPr>
          <w:rFonts w:cs="Arial"/>
          <w:lang w:val="it-IT"/>
        </w:rPr>
      </w:pPr>
    </w:p>
    <w:p w14:paraId="2A666797" w14:textId="77777777" w:rsidR="00EF4BEC" w:rsidRDefault="00EF4BEC">
      <w:pPr>
        <w:rPr>
          <w:rFonts w:cs="Arial"/>
          <w:lang w:val="it-IT"/>
        </w:rPr>
      </w:pPr>
    </w:p>
    <w:p w14:paraId="35A0D6DC" w14:textId="77777777" w:rsidR="00EF4BEC" w:rsidRDefault="00EF4BEC">
      <w:pPr>
        <w:rPr>
          <w:rFonts w:cs="Arial"/>
          <w:lang w:val="it-IT"/>
        </w:rPr>
      </w:pPr>
    </w:p>
    <w:p w14:paraId="765F88F0" w14:textId="77777777" w:rsidR="00EF4BEC" w:rsidRDefault="00EF4BEC">
      <w:pPr>
        <w:rPr>
          <w:rFonts w:cs="Arial"/>
          <w:lang w:val="it-IT"/>
        </w:rPr>
      </w:pPr>
    </w:p>
    <w:p w14:paraId="4A156948" w14:textId="77777777" w:rsidR="00EF4BEC" w:rsidRDefault="00EF4BEC">
      <w:pPr>
        <w:rPr>
          <w:rFonts w:cs="Arial"/>
          <w:lang w:val="it-IT"/>
        </w:rPr>
      </w:pPr>
    </w:p>
    <w:p w14:paraId="3274C001" w14:textId="77777777" w:rsidR="00EF4BEC" w:rsidRDefault="00EF4BEC">
      <w:pPr>
        <w:rPr>
          <w:rFonts w:cs="Arial"/>
          <w:lang w:val="it-IT"/>
        </w:rPr>
      </w:pPr>
    </w:p>
    <w:p w14:paraId="43F6BFD4" w14:textId="77777777" w:rsidR="00EF4BEC" w:rsidRDefault="00EF4BEC">
      <w:pPr>
        <w:rPr>
          <w:rFonts w:cs="Arial"/>
          <w:lang w:val="it-IT"/>
        </w:rPr>
      </w:pPr>
    </w:p>
    <w:p w14:paraId="6C29FD35" w14:textId="77777777" w:rsidR="00EF4BEC" w:rsidRDefault="00EF4BEC">
      <w:pPr>
        <w:rPr>
          <w:rFonts w:cs="Arial"/>
          <w:lang w:val="it-IT"/>
        </w:rPr>
      </w:pPr>
    </w:p>
    <w:p w14:paraId="21E3C840" w14:textId="77777777" w:rsidR="00EF4BEC" w:rsidRDefault="009E2ACD">
      <w:pPr>
        <w:spacing w:after="0"/>
        <w:jc w:val="center"/>
        <w:rPr>
          <w:rFonts w:cs="Arial"/>
          <w:b/>
          <w:szCs w:val="20"/>
          <w:lang w:val="it-IT"/>
        </w:rPr>
      </w:pPr>
      <w:r>
        <w:rPr>
          <w:rFonts w:cs="Arial"/>
          <w:b/>
          <w:szCs w:val="20"/>
          <w:lang w:val="it-IT"/>
        </w:rPr>
        <w:t xml:space="preserve">RACCOMANDAZIONI dell’Associazione Svizzera di Medicina Trasfusionale (ASMT) </w:t>
      </w:r>
      <w:r>
        <w:rPr>
          <w:rFonts w:cs="Arial"/>
          <w:b/>
          <w:szCs w:val="20"/>
          <w:lang w:val="it-IT"/>
        </w:rPr>
        <w:br/>
        <w:t xml:space="preserve">e di Trasfusione CRS Svizzera (T-CH) </w:t>
      </w:r>
    </w:p>
    <w:p w14:paraId="3A860B9A" w14:textId="5BEB7A82" w:rsidR="00EF4BEC" w:rsidRDefault="009E2ACD">
      <w:pPr>
        <w:spacing w:after="0"/>
        <w:rPr>
          <w:rFonts w:cs="Arial"/>
          <w:b/>
          <w:szCs w:val="20"/>
          <w:lang w:val="it-IT"/>
        </w:rPr>
      </w:pPr>
      <w:r>
        <w:rPr>
          <w:rFonts w:cs="Arial"/>
          <w:b/>
          <w:szCs w:val="20"/>
          <w:lang w:val="it-IT"/>
        </w:rPr>
        <w:t xml:space="preserve">rivolte a specialisti, laboratori e istituti medici </w:t>
      </w:r>
      <w:r>
        <w:rPr>
          <w:b/>
          <w:lang w:val="it-IT"/>
        </w:rPr>
        <w:t>relative alle analisi di immunoematologia</w:t>
      </w:r>
      <w:r>
        <w:rPr>
          <w:b/>
          <w:lang w:val="it-IT"/>
        </w:rPr>
        <w:br/>
        <w:t xml:space="preserve"> e di biologia molecolare dei campioni di sangue dei pazienti</w:t>
      </w:r>
      <w:r>
        <w:rPr>
          <w:rFonts w:cs="Arial"/>
          <w:b/>
          <w:szCs w:val="20"/>
          <w:lang w:val="it-IT"/>
        </w:rPr>
        <w:br w:type="page"/>
      </w:r>
      <w:r>
        <w:rPr>
          <w:rFonts w:cs="Arial"/>
          <w:b/>
          <w:szCs w:val="20"/>
          <w:lang w:val="it-IT"/>
        </w:rPr>
        <w:lastRenderedPageBreak/>
        <w:t xml:space="preserve">Modifiche nell’attuale versione </w:t>
      </w:r>
      <w:r w:rsidR="007976FF">
        <w:rPr>
          <w:rFonts w:cs="Arial"/>
          <w:b/>
          <w:szCs w:val="20"/>
          <w:lang w:val="it-IT"/>
        </w:rPr>
        <w:t>10</w:t>
      </w:r>
      <w:r>
        <w:rPr>
          <w:rFonts w:cs="Arial"/>
          <w:b/>
          <w:szCs w:val="20"/>
          <w:lang w:val="it-IT"/>
        </w:rPr>
        <w:t>, valida dall’01.0</w:t>
      </w:r>
      <w:r w:rsidR="007C6931">
        <w:rPr>
          <w:rFonts w:cs="Arial"/>
          <w:b/>
          <w:szCs w:val="20"/>
          <w:lang w:val="it-IT"/>
        </w:rPr>
        <w:t>4</w:t>
      </w:r>
      <w:r>
        <w:rPr>
          <w:rFonts w:cs="Arial"/>
          <w:b/>
          <w:szCs w:val="20"/>
          <w:lang w:val="it-IT"/>
        </w:rPr>
        <w:t>.</w:t>
      </w:r>
      <w:r w:rsidR="00F0441B">
        <w:rPr>
          <w:rFonts w:cs="Arial"/>
          <w:b/>
          <w:szCs w:val="20"/>
          <w:lang w:val="it-IT"/>
        </w:rPr>
        <w:t>202</w:t>
      </w:r>
      <w:r w:rsidR="007976FF">
        <w:rPr>
          <w:rFonts w:cs="Arial"/>
          <w:b/>
          <w:szCs w:val="20"/>
          <w:lang w:val="it-IT"/>
        </w:rPr>
        <w:t>4</w:t>
      </w:r>
    </w:p>
    <w:p w14:paraId="59C335FE" w14:textId="77777777" w:rsidR="00CA5324" w:rsidRDefault="00CA5324">
      <w:pPr>
        <w:spacing w:after="0"/>
        <w:rPr>
          <w:rFonts w:cs="Arial"/>
          <w:b/>
          <w:szCs w:val="20"/>
          <w:lang w:val="it-IT"/>
        </w:rPr>
      </w:pPr>
    </w:p>
    <w:p w14:paraId="44A10BA5" w14:textId="1D21A6EB" w:rsidR="007976FF" w:rsidRPr="007976FF" w:rsidRDefault="007976FF" w:rsidP="007976FF">
      <w:pPr>
        <w:rPr>
          <w:rFonts w:cs="Arial"/>
          <w:lang w:val="it-IT"/>
        </w:rPr>
      </w:pPr>
      <w:r w:rsidRPr="007976FF">
        <w:rPr>
          <w:rFonts w:cs="Arial"/>
          <w:lang w:val="it-IT"/>
        </w:rPr>
        <w:t xml:space="preserve">1.1 Requisiti generali per la trasfusione: Ogni organizzazione che trasfonde prodotti ematici labili è tenuta </w:t>
      </w:r>
      <w:r w:rsidRPr="004F567C">
        <w:rPr>
          <w:rFonts w:cs="Arial"/>
          <w:strike/>
          <w:lang w:val="it-IT"/>
        </w:rPr>
        <w:t>a nominare un responsabile della qualità in conformità alle disposizioni di legge applicabili e</w:t>
      </w:r>
      <w:r w:rsidRPr="007976FF">
        <w:rPr>
          <w:rFonts w:cs="Arial"/>
          <w:lang w:val="it-IT"/>
        </w:rPr>
        <w:t xml:space="preserve"> a istituire un sistema di garanzia della qualità in linea con lo stato attuale della scienza e della tecnologia medica (cfr. § 1) [3; 22] Fonte: </w:t>
      </w:r>
      <w:r w:rsidR="007C4C4F" w:rsidRPr="00047D06">
        <w:rPr>
          <w:rFonts w:cs="Arial"/>
          <w:lang w:val="it-IT"/>
        </w:rPr>
        <w:t>OM</w:t>
      </w:r>
      <w:r w:rsidR="007C4C4F" w:rsidRPr="007976FF">
        <w:rPr>
          <w:rFonts w:cs="Arial"/>
          <w:lang w:val="it-IT"/>
        </w:rPr>
        <w:t xml:space="preserve"> </w:t>
      </w:r>
      <w:r w:rsidRPr="007976FF">
        <w:rPr>
          <w:rFonts w:cs="Arial"/>
          <w:lang w:val="it-IT"/>
        </w:rPr>
        <w:t>art. 65.</w:t>
      </w:r>
    </w:p>
    <w:p w14:paraId="5923451F" w14:textId="2532F5F1" w:rsidR="00D26756" w:rsidRPr="00D26756" w:rsidRDefault="007976FF" w:rsidP="007976FF">
      <w:pPr>
        <w:rPr>
          <w:rFonts w:cs="Arial"/>
          <w:lang w:val="it-IT"/>
        </w:rPr>
      </w:pPr>
      <w:r w:rsidRPr="00D26756">
        <w:rPr>
          <w:rFonts w:cs="Arial"/>
          <w:lang w:val="it-IT"/>
        </w:rPr>
        <w:t>3.3.1 Controlli interni di qualità: 1° e 6° punto: (</w:t>
      </w:r>
      <w:r w:rsidRPr="00D26756">
        <w:rPr>
          <w:rFonts w:cs="Arial"/>
          <w:b/>
          <w:bCs/>
          <w:lang w:val="it-IT"/>
        </w:rPr>
        <w:t>concentrazione massima</w:t>
      </w:r>
      <w:r w:rsidRPr="00D26756">
        <w:rPr>
          <w:rFonts w:cs="Arial"/>
          <w:lang w:val="it-IT"/>
        </w:rPr>
        <w:t xml:space="preserve"> </w:t>
      </w:r>
      <w:r w:rsidRPr="00D26756">
        <w:rPr>
          <w:rFonts w:cs="Arial"/>
          <w:strike/>
          <w:lang w:val="it-IT"/>
        </w:rPr>
        <w:t>del limite di rilevazione ≤1</w:t>
      </w:r>
      <w:r w:rsidRPr="00D26756">
        <w:rPr>
          <w:rFonts w:cs="Arial"/>
          <w:lang w:val="it-IT"/>
        </w:rPr>
        <w:t>20 ng anti-RH1 / ml (0,1 UI/ml) [9]).</w:t>
      </w:r>
    </w:p>
    <w:p w14:paraId="72E20922" w14:textId="438ED236" w:rsidR="007976FF" w:rsidRPr="007976FF" w:rsidRDefault="007976FF" w:rsidP="007976FF">
      <w:pPr>
        <w:rPr>
          <w:rFonts w:cs="Arial"/>
          <w:lang w:val="it-IT"/>
        </w:rPr>
      </w:pPr>
      <w:r w:rsidRPr="007976FF">
        <w:rPr>
          <w:rFonts w:cs="Arial"/>
          <w:lang w:val="it-IT"/>
        </w:rPr>
        <w:t xml:space="preserve">4.1 Raccolta e identificazione del campione: eliminare il 3° punto: La persona che esegue il prelievo di sangue deve assicurarsi che l'identità del paziente sia stata chiaramente verificata in precedenza dall'amministrazione responsabile (ospedale, studio medico, ecc.). </w:t>
      </w:r>
    </w:p>
    <w:p w14:paraId="3BFC1BAC" w14:textId="768E7391" w:rsidR="007976FF" w:rsidRDefault="007976FF" w:rsidP="007976FF">
      <w:pPr>
        <w:rPr>
          <w:rFonts w:cs="Arial"/>
          <w:lang w:val="it-IT"/>
        </w:rPr>
      </w:pPr>
      <w:r w:rsidRPr="007976FF">
        <w:rPr>
          <w:rFonts w:cs="Arial"/>
          <w:lang w:val="it-IT"/>
        </w:rPr>
        <w:t xml:space="preserve">Aggiunta al 4° punto: La persona che esegue il prelievo di sangue controlla </w:t>
      </w:r>
      <w:r w:rsidRPr="004F567C">
        <w:rPr>
          <w:rFonts w:cs="Arial"/>
          <w:b/>
          <w:bCs/>
          <w:lang w:val="it-IT"/>
        </w:rPr>
        <w:t>e conferma</w:t>
      </w:r>
      <w:r w:rsidRPr="007976FF">
        <w:rPr>
          <w:rFonts w:cs="Arial"/>
          <w:lang w:val="it-IT"/>
        </w:rPr>
        <w:t xml:space="preserve"> </w:t>
      </w:r>
      <w:r w:rsidR="003164A6">
        <w:rPr>
          <w:rFonts w:cs="Arial"/>
          <w:lang w:val="it-IT"/>
        </w:rPr>
        <w:t xml:space="preserve">che </w:t>
      </w:r>
      <w:r w:rsidRPr="007976FF">
        <w:rPr>
          <w:rFonts w:cs="Arial"/>
          <w:lang w:val="it-IT"/>
        </w:rPr>
        <w:t xml:space="preserve">la corretta identificazione del paziente </w:t>
      </w:r>
      <w:r w:rsidR="003164A6">
        <w:rPr>
          <w:rFonts w:cs="Arial"/>
          <w:lang w:val="it-IT"/>
        </w:rPr>
        <w:t xml:space="preserve">è avvenuta </w:t>
      </w:r>
      <w:r w:rsidRPr="007976FF">
        <w:rPr>
          <w:rFonts w:cs="Arial"/>
          <w:lang w:val="it-IT"/>
        </w:rPr>
        <w:t>in modo appropriato (firma/visto sul modulo d'ordine e/o sulla provetta, lettura in un sistema di registrazione elettronico, ecc.) Il laboratorio deve essere in grado di verificare queste informazioni.</w:t>
      </w:r>
    </w:p>
    <w:p w14:paraId="61A002DA" w14:textId="7B6B8910" w:rsidR="007976FF" w:rsidRPr="007976FF" w:rsidRDefault="007976FF" w:rsidP="007976FF">
      <w:pPr>
        <w:rPr>
          <w:rFonts w:cs="Arial"/>
          <w:lang w:val="it-IT"/>
        </w:rPr>
      </w:pPr>
      <w:r w:rsidRPr="00D26756">
        <w:rPr>
          <w:rFonts w:cs="Arial"/>
          <w:lang w:val="it-IT"/>
        </w:rPr>
        <w:t xml:space="preserve">4.3 Validità del materiale del campione e dei risultati </w:t>
      </w:r>
      <w:r w:rsidR="004F567C" w:rsidRPr="00D26756">
        <w:rPr>
          <w:rFonts w:cs="Arial"/>
          <w:lang w:val="it-IT"/>
        </w:rPr>
        <w:t>delle indagini supplementari</w:t>
      </w:r>
      <w:r w:rsidRPr="00D26756">
        <w:rPr>
          <w:rFonts w:cs="Arial"/>
          <w:lang w:val="it-IT"/>
        </w:rPr>
        <w:t xml:space="preserve">: integrare il 2° punto: In casi eccezionali in cui non è possibile escludere gli anticorpi (ad es. anti-RH8 o anti-KEL3) a causa </w:t>
      </w:r>
      <w:r w:rsidRPr="00DA2658">
        <w:rPr>
          <w:rFonts w:cs="Arial"/>
          <w:lang w:val="it-IT"/>
        </w:rPr>
        <w:t xml:space="preserve">della mancanza di cellule di test, è possibile selezionare CE </w:t>
      </w:r>
      <w:r w:rsidR="00D26756" w:rsidRPr="00DA2658">
        <w:rPr>
          <w:rFonts w:cs="Arial"/>
          <w:lang w:val="it-IT"/>
        </w:rPr>
        <w:t xml:space="preserve">antigene </w:t>
      </w:r>
      <w:r w:rsidRPr="00DA2658">
        <w:rPr>
          <w:rFonts w:cs="Arial"/>
          <w:lang w:val="it-IT"/>
        </w:rPr>
        <w:t>compatibile.</w:t>
      </w:r>
    </w:p>
    <w:p w14:paraId="529A48A0" w14:textId="22E875A3" w:rsidR="007976FF" w:rsidRPr="007976FF" w:rsidRDefault="007976FF" w:rsidP="007976FF">
      <w:pPr>
        <w:rPr>
          <w:rFonts w:cs="Arial"/>
          <w:lang w:val="it-IT"/>
        </w:rPr>
      </w:pPr>
      <w:r w:rsidRPr="00DA2658">
        <w:rPr>
          <w:rFonts w:cs="Arial"/>
          <w:lang w:val="it-IT"/>
        </w:rPr>
        <w:t>Tabella 5.1.3: Integrazione del primo e del secondo siero di prova anti-RH1: debol</w:t>
      </w:r>
      <w:r w:rsidR="00DA2658" w:rsidRPr="00DA2658">
        <w:rPr>
          <w:rFonts w:cs="Arial"/>
          <w:lang w:val="it-IT"/>
        </w:rPr>
        <w:t>mente positivo/indebolito.</w:t>
      </w:r>
    </w:p>
    <w:p w14:paraId="693EF3A5" w14:textId="2C754A09" w:rsidR="007976FF" w:rsidRDefault="007976FF" w:rsidP="007976FF">
      <w:pPr>
        <w:rPr>
          <w:rFonts w:cs="Arial"/>
          <w:lang w:val="it-IT"/>
        </w:rPr>
      </w:pPr>
      <w:r w:rsidRPr="0021059F">
        <w:rPr>
          <w:rFonts w:cs="Arial"/>
          <w:lang w:val="it-IT"/>
        </w:rPr>
        <w:t xml:space="preserve">5.3.2 Metodi per il test di screening e l'identificazione degli anticorpi: 3° punto: la sensibilità e la specificità sono verificate </w:t>
      </w:r>
      <w:r w:rsidR="00DA2658" w:rsidRPr="0021059F">
        <w:rPr>
          <w:rFonts w:cs="Arial"/>
          <w:lang w:val="it-IT"/>
        </w:rPr>
        <w:t>tramite</w:t>
      </w:r>
      <w:r w:rsidRPr="0021059F">
        <w:rPr>
          <w:rFonts w:cs="Arial"/>
          <w:lang w:val="it-IT"/>
        </w:rPr>
        <w:t xml:space="preserve"> un anti-RH1 debole </w:t>
      </w:r>
      <w:r w:rsidRPr="0021059F">
        <w:rPr>
          <w:rFonts w:cs="Arial"/>
          <w:strike/>
          <w:lang w:val="it-IT"/>
        </w:rPr>
        <w:t>deve corrispondere almeno a</w:t>
      </w:r>
      <w:r w:rsidRPr="0021059F">
        <w:rPr>
          <w:rFonts w:cs="Arial"/>
          <w:lang w:val="it-IT"/>
        </w:rPr>
        <w:t xml:space="preserve"> [concentrazione </w:t>
      </w:r>
      <w:r w:rsidR="003164A6">
        <w:rPr>
          <w:rFonts w:cs="Arial"/>
          <w:lang w:val="it-IT"/>
        </w:rPr>
        <w:t>massima</w:t>
      </w:r>
      <w:r w:rsidRPr="0021059F">
        <w:rPr>
          <w:rFonts w:cs="Arial"/>
          <w:lang w:val="it-IT"/>
        </w:rPr>
        <w:t xml:space="preserve"> di ≤2</w:t>
      </w:r>
      <w:r w:rsidRPr="0021059F">
        <w:rPr>
          <w:rFonts w:cs="Arial"/>
          <w:strike/>
          <w:lang w:val="it-IT"/>
        </w:rPr>
        <w:t>1</w:t>
      </w:r>
      <w:r w:rsidRPr="0021059F">
        <w:rPr>
          <w:rFonts w:cs="Arial"/>
          <w:lang w:val="it-IT"/>
        </w:rPr>
        <w:t xml:space="preserve">0 ng </w:t>
      </w:r>
      <w:r w:rsidRPr="0021059F">
        <w:rPr>
          <w:rFonts w:cs="Arial"/>
          <w:strike/>
          <w:lang w:val="it-IT"/>
        </w:rPr>
        <w:t>(0,05 UI)</w:t>
      </w:r>
      <w:r w:rsidRPr="0021059F">
        <w:rPr>
          <w:rFonts w:cs="Arial"/>
          <w:lang w:val="it-IT"/>
        </w:rPr>
        <w:t xml:space="preserve"> anti-RH1 / ml (</w:t>
      </w:r>
      <w:r w:rsidRPr="0021059F">
        <w:rPr>
          <w:rFonts w:cs="Arial"/>
          <w:b/>
          <w:bCs/>
          <w:lang w:val="it-IT"/>
        </w:rPr>
        <w:t>0,1 UI/ml</w:t>
      </w:r>
      <w:r w:rsidRPr="0021059F">
        <w:rPr>
          <w:rFonts w:cs="Arial"/>
          <w:lang w:val="it-IT"/>
        </w:rPr>
        <w:t>)] [9].</w:t>
      </w:r>
    </w:p>
    <w:p w14:paraId="1FE42228" w14:textId="77777777" w:rsidR="007976FF" w:rsidRDefault="007976FF" w:rsidP="007976FF">
      <w:pPr>
        <w:rPr>
          <w:rFonts w:cs="Arial"/>
          <w:lang w:val="it-IT"/>
        </w:rPr>
      </w:pPr>
      <w:r w:rsidRPr="0021059F">
        <w:rPr>
          <w:rFonts w:cs="Arial"/>
          <w:lang w:val="it-IT"/>
        </w:rPr>
        <w:t>5.3.4 Identificazione degli anticorpi: aggiungere al 4° punto: gli anticorpi non rilevanti per la trasfusione, ad esempio gli anti-Bg, non devono essere confermati o esclusi attivamente (per le gravidanze, vedere § 7.1.6).</w:t>
      </w:r>
    </w:p>
    <w:p w14:paraId="0DFF1EE4" w14:textId="13E256F8" w:rsidR="007976FF" w:rsidRDefault="007976FF" w:rsidP="007976FF">
      <w:pPr>
        <w:rPr>
          <w:rFonts w:cs="Arial"/>
          <w:lang w:val="it-IT"/>
        </w:rPr>
      </w:pPr>
      <w:r w:rsidRPr="000D4E93">
        <w:rPr>
          <w:rFonts w:cs="Arial"/>
          <w:lang w:val="it-IT"/>
        </w:rPr>
        <w:t xml:space="preserve">5.5 Controllo di compatibilità pre-trasfusionale: adattare il 5° punto: se sono presenti anticorpi contro antigeni a bassa frequenza (anticorpi "anti-"privati"), </w:t>
      </w:r>
      <w:r w:rsidR="0021059F" w:rsidRPr="000D4E93">
        <w:rPr>
          <w:rFonts w:cs="Arial"/>
          <w:lang w:val="it-IT"/>
        </w:rPr>
        <w:t>i</w:t>
      </w:r>
      <w:r w:rsidRPr="000D4E93">
        <w:rPr>
          <w:rFonts w:cs="Arial"/>
          <w:lang w:val="it-IT"/>
        </w:rPr>
        <w:t xml:space="preserve"> CE dev</w:t>
      </w:r>
      <w:r w:rsidR="0021059F" w:rsidRPr="000D4E93">
        <w:rPr>
          <w:rFonts w:cs="Arial"/>
          <w:lang w:val="it-IT"/>
        </w:rPr>
        <w:t>ono</w:t>
      </w:r>
      <w:r w:rsidRPr="000D4E93">
        <w:rPr>
          <w:rFonts w:cs="Arial"/>
          <w:lang w:val="it-IT"/>
        </w:rPr>
        <w:t xml:space="preserve"> essere rilasciat</w:t>
      </w:r>
      <w:r w:rsidR="0021059F" w:rsidRPr="000D4E93">
        <w:rPr>
          <w:rFonts w:cs="Arial"/>
          <w:lang w:val="it-IT"/>
        </w:rPr>
        <w:t>i</w:t>
      </w:r>
      <w:r w:rsidRPr="000D4E93">
        <w:rPr>
          <w:rFonts w:cs="Arial"/>
          <w:lang w:val="it-IT"/>
        </w:rPr>
        <w:t xml:space="preserve"> mediante un </w:t>
      </w:r>
      <w:r w:rsidR="0021059F" w:rsidRPr="000D4E93">
        <w:rPr>
          <w:rFonts w:cs="Arial"/>
          <w:lang w:val="it-IT"/>
        </w:rPr>
        <w:t>test di compatibilità negativo</w:t>
      </w:r>
      <w:r w:rsidRPr="000D4E93">
        <w:rPr>
          <w:rFonts w:cs="Arial"/>
          <w:lang w:val="it-IT"/>
        </w:rPr>
        <w:t>.</w:t>
      </w:r>
    </w:p>
    <w:p w14:paraId="7B0298BA" w14:textId="2A347D61" w:rsidR="007976FF" w:rsidRDefault="007976FF" w:rsidP="007976FF">
      <w:pPr>
        <w:rPr>
          <w:rFonts w:cs="Arial"/>
          <w:lang w:val="it-IT"/>
        </w:rPr>
      </w:pPr>
      <w:r w:rsidRPr="00A90D84">
        <w:rPr>
          <w:rFonts w:cs="Arial"/>
          <w:lang w:val="it-IT"/>
        </w:rPr>
        <w:t xml:space="preserve">Aggiungere l'ultimo punto: se è presente un anticorpo anti-RH3 (anti-E) o anti-RH8 (anti-Cw) "solo enzimatico", che non è mai stato rilevato nello IAT, possono essere rilasciati </w:t>
      </w:r>
      <w:r w:rsidR="000D4E93" w:rsidRPr="00A90D84">
        <w:rPr>
          <w:rFonts w:cs="Arial"/>
          <w:lang w:val="it-IT"/>
        </w:rPr>
        <w:t>CE RH/KEL1 compatibili secondo la regola del</w:t>
      </w:r>
      <w:r w:rsidRPr="00A90D84">
        <w:rPr>
          <w:rFonts w:cs="Arial"/>
          <w:lang w:val="it-IT"/>
        </w:rPr>
        <w:t xml:space="preserve"> T&amp;S.</w:t>
      </w:r>
    </w:p>
    <w:p w14:paraId="00410B7C" w14:textId="55F9AA5B" w:rsidR="007976FF" w:rsidRPr="007976FF" w:rsidRDefault="007976FF" w:rsidP="007976FF">
      <w:pPr>
        <w:rPr>
          <w:rFonts w:cs="Arial"/>
          <w:lang w:val="it-IT"/>
        </w:rPr>
      </w:pPr>
      <w:r w:rsidRPr="00A90D84">
        <w:rPr>
          <w:rFonts w:cs="Arial"/>
          <w:lang w:val="it-IT"/>
        </w:rPr>
        <w:t xml:space="preserve">6.1 Inserimento </w:t>
      </w:r>
      <w:r w:rsidR="00A90D84" w:rsidRPr="00A90D84">
        <w:rPr>
          <w:rFonts w:cs="Arial"/>
          <w:lang w:val="it-IT"/>
        </w:rPr>
        <w:t xml:space="preserve">manuale </w:t>
      </w:r>
      <w:r w:rsidRPr="00A90D84">
        <w:rPr>
          <w:rFonts w:cs="Arial"/>
          <w:lang w:val="it-IT"/>
        </w:rPr>
        <w:t xml:space="preserve">dei risultati: L'inserimento dei dati </w:t>
      </w:r>
      <w:r w:rsidRPr="00EF4827">
        <w:rPr>
          <w:rFonts w:cs="Arial"/>
          <w:b/>
          <w:bCs/>
          <w:lang w:val="it-IT"/>
        </w:rPr>
        <w:t>deve</w:t>
      </w:r>
      <w:r w:rsidRPr="00A90D84">
        <w:rPr>
          <w:rFonts w:cs="Arial"/>
          <w:lang w:val="it-IT"/>
        </w:rPr>
        <w:t xml:space="preserve"> essere controllato, documentato e firmato da una seconda persona </w:t>
      </w:r>
      <w:r w:rsidRPr="00EF4827">
        <w:rPr>
          <w:rFonts w:cs="Arial"/>
          <w:b/>
          <w:bCs/>
          <w:lang w:val="it-IT"/>
        </w:rPr>
        <w:t>il prima possibile</w:t>
      </w:r>
      <w:r w:rsidRPr="00A90D84">
        <w:rPr>
          <w:rFonts w:cs="Arial"/>
          <w:lang w:val="it-IT"/>
        </w:rPr>
        <w:t>.</w:t>
      </w:r>
    </w:p>
    <w:p w14:paraId="5A6256E2" w14:textId="08CC44EB" w:rsidR="007976FF" w:rsidRPr="007976FF" w:rsidRDefault="007976FF" w:rsidP="007976FF">
      <w:pPr>
        <w:rPr>
          <w:rFonts w:cs="Arial"/>
          <w:lang w:val="it-IT"/>
        </w:rPr>
      </w:pPr>
      <w:r w:rsidRPr="00EF4827">
        <w:rPr>
          <w:rFonts w:cs="Arial"/>
          <w:lang w:val="it-IT"/>
        </w:rPr>
        <w:t xml:space="preserve">6.3.1 </w:t>
      </w:r>
      <w:r w:rsidR="00887889">
        <w:rPr>
          <w:rFonts w:cs="Arial"/>
          <w:lang w:val="it-IT"/>
        </w:rPr>
        <w:t>Rapporto</w:t>
      </w:r>
      <w:r w:rsidRPr="00EF4827">
        <w:rPr>
          <w:rFonts w:cs="Arial"/>
          <w:lang w:val="it-IT"/>
        </w:rPr>
        <w:t xml:space="preserve">: il </w:t>
      </w:r>
      <w:r w:rsidR="00887889">
        <w:rPr>
          <w:rFonts w:cs="Arial"/>
          <w:lang w:val="it-IT"/>
        </w:rPr>
        <w:t>rapporto</w:t>
      </w:r>
      <w:r w:rsidR="00887889" w:rsidRPr="00EF4827">
        <w:rPr>
          <w:rFonts w:cs="Arial"/>
          <w:lang w:val="it-IT"/>
        </w:rPr>
        <w:t xml:space="preserve"> </w:t>
      </w:r>
      <w:r w:rsidRPr="00EF4827">
        <w:rPr>
          <w:rFonts w:cs="Arial"/>
          <w:lang w:val="it-IT"/>
        </w:rPr>
        <w:t>di analisi deve contenere quanto segue (integrare il 7° punto): Nel documento devono essere menzionati anche gli alloanticorpi non più rilevabili.</w:t>
      </w:r>
    </w:p>
    <w:p w14:paraId="1A4EFABD" w14:textId="0652FBFA" w:rsidR="007976FF" w:rsidRDefault="007976FF" w:rsidP="007976FF">
      <w:pPr>
        <w:rPr>
          <w:rFonts w:cs="Arial"/>
          <w:lang w:val="it-IT"/>
        </w:rPr>
      </w:pPr>
      <w:r w:rsidRPr="00EF4827">
        <w:rPr>
          <w:rFonts w:cs="Arial"/>
          <w:lang w:val="it-IT"/>
        </w:rPr>
        <w:t xml:space="preserve">7.1.6 Alloanticorpi in gravidanza: nuovo punto (4): </w:t>
      </w:r>
      <w:r w:rsidRPr="00EF4827">
        <w:rPr>
          <w:rFonts w:cs="Arial"/>
          <w:b/>
          <w:bCs/>
          <w:lang w:val="it-IT"/>
        </w:rPr>
        <w:t>un anticorpo clinicamente irrilevante, come l'anti-Bg, non deve essere ricercato attivamente o escluso.</w:t>
      </w:r>
    </w:p>
    <w:p w14:paraId="2431723E" w14:textId="1F7CA585" w:rsidR="007976FF" w:rsidRDefault="007976FF" w:rsidP="007976FF">
      <w:pPr>
        <w:rPr>
          <w:rFonts w:cs="Arial"/>
          <w:lang w:val="it-IT"/>
        </w:rPr>
      </w:pPr>
      <w:r w:rsidRPr="00EF4827">
        <w:rPr>
          <w:rFonts w:cs="Arial"/>
          <w:lang w:val="it-IT"/>
        </w:rPr>
        <w:t xml:space="preserve">7.2.3: Test </w:t>
      </w:r>
      <w:r w:rsidR="00EF4827" w:rsidRPr="00EF4827">
        <w:rPr>
          <w:rFonts w:cs="Arial"/>
          <w:lang w:val="it-IT"/>
        </w:rPr>
        <w:t xml:space="preserve">di Coombs </w:t>
      </w:r>
      <w:r w:rsidRPr="00EF4827">
        <w:rPr>
          <w:rFonts w:cs="Arial"/>
          <w:lang w:val="it-IT"/>
        </w:rPr>
        <w:t xml:space="preserve">diretto </w:t>
      </w:r>
      <w:r w:rsidR="00EF4827" w:rsidRPr="00EF4827">
        <w:rPr>
          <w:rFonts w:cs="Arial"/>
          <w:lang w:val="it-IT"/>
        </w:rPr>
        <w:t>(DAT)</w:t>
      </w:r>
      <w:r w:rsidRPr="00EF4827">
        <w:rPr>
          <w:rFonts w:cs="Arial"/>
          <w:lang w:val="it-IT"/>
        </w:rPr>
        <w:t xml:space="preserve">: supplemento al punto </w:t>
      </w:r>
      <w:r w:rsidR="00887889">
        <w:rPr>
          <w:rFonts w:cs="Arial"/>
          <w:lang w:val="it-IT"/>
        </w:rPr>
        <w:t>3</w:t>
      </w:r>
      <w:r w:rsidRPr="00EF4827">
        <w:rPr>
          <w:rFonts w:cs="Arial"/>
          <w:lang w:val="it-IT"/>
        </w:rPr>
        <w:t>: se non sono rilevabili anticorpi n</w:t>
      </w:r>
      <w:r w:rsidR="00EF4827" w:rsidRPr="00EF4827">
        <w:rPr>
          <w:rFonts w:cs="Arial"/>
          <w:lang w:val="it-IT"/>
        </w:rPr>
        <w:t>ella RAI</w:t>
      </w:r>
      <w:r w:rsidRPr="00EF4827">
        <w:rPr>
          <w:rFonts w:cs="Arial"/>
          <w:lang w:val="it-IT"/>
        </w:rPr>
        <w:t xml:space="preserve"> della madre (e non sono presenti anticorpi con specificità anti-A/-B nell'eluato del bambino), si può prendere in considerazione un test di compatibilità con il siero/plasma della madre e gli eritrociti del bambino o del padre per </w:t>
      </w:r>
      <w:r w:rsidRPr="00EF4827">
        <w:rPr>
          <w:rFonts w:cs="Arial"/>
          <w:b/>
          <w:bCs/>
          <w:lang w:val="it-IT"/>
        </w:rPr>
        <w:t>escludere la presenza di un anticorpo contro un antigene a bassa frequenza</w:t>
      </w:r>
      <w:r w:rsidRPr="00EF4827">
        <w:rPr>
          <w:rFonts w:cs="Arial"/>
          <w:lang w:val="it-IT"/>
        </w:rPr>
        <w:t xml:space="preserve"> ("anti-privato") (</w:t>
      </w:r>
      <w:r w:rsidR="00EF4827" w:rsidRPr="00EF4827">
        <w:rPr>
          <w:rFonts w:cs="Arial"/>
          <w:lang w:val="it-IT"/>
        </w:rPr>
        <w:t>attenzione all’</w:t>
      </w:r>
      <w:r w:rsidRPr="00EF4827">
        <w:rPr>
          <w:rFonts w:cs="Arial"/>
          <w:lang w:val="it-IT"/>
        </w:rPr>
        <w:t>incompatibilità ABO!).</w:t>
      </w:r>
    </w:p>
    <w:p w14:paraId="63ABD40E" w14:textId="77777777" w:rsidR="00EF4827" w:rsidRPr="00047D06" w:rsidRDefault="00EF4827" w:rsidP="007976FF">
      <w:pPr>
        <w:rPr>
          <w:rFonts w:cs="Arial"/>
          <w:lang w:val="it-IT"/>
        </w:rPr>
      </w:pPr>
    </w:p>
    <w:p w14:paraId="43AF71F4" w14:textId="0F2FDA54" w:rsidR="007976FF" w:rsidRPr="00EF4827" w:rsidRDefault="007976FF" w:rsidP="007976FF">
      <w:pPr>
        <w:rPr>
          <w:rFonts w:cs="Arial"/>
          <w:lang w:val="it-IT"/>
        </w:rPr>
      </w:pPr>
      <w:r w:rsidRPr="00EF4827">
        <w:rPr>
          <w:rFonts w:cs="Arial"/>
          <w:lang w:val="it-IT"/>
        </w:rPr>
        <w:t>8.1 Scelta del gruppo sanguigno per i concentrati di eritrociti: Il laboratorio</w:t>
      </w:r>
      <w:r w:rsidR="00EF4827" w:rsidRPr="00EF4827">
        <w:rPr>
          <w:rFonts w:cs="Arial"/>
          <w:lang w:val="it-IT"/>
        </w:rPr>
        <w:t>, nel limite del possibile,</w:t>
      </w:r>
      <w:r w:rsidRPr="00EF4827">
        <w:rPr>
          <w:rFonts w:cs="Arial"/>
          <w:lang w:val="it-IT"/>
        </w:rPr>
        <w:t xml:space="preserve"> è responsabile della trasfusione di concentrati di globuli rossi ABO e RH1</w:t>
      </w:r>
      <w:r w:rsidR="00EF4827" w:rsidRPr="00EF4827">
        <w:rPr>
          <w:rFonts w:cs="Arial"/>
          <w:lang w:val="it-IT"/>
        </w:rPr>
        <w:t xml:space="preserve"> identici.</w:t>
      </w:r>
    </w:p>
    <w:p w14:paraId="3C790A72" w14:textId="1DB93CEA" w:rsidR="007976FF" w:rsidRPr="007976FF" w:rsidRDefault="007976FF" w:rsidP="007976FF">
      <w:pPr>
        <w:rPr>
          <w:rFonts w:cs="Arial"/>
          <w:lang w:val="it-IT"/>
        </w:rPr>
      </w:pPr>
      <w:r w:rsidRPr="00EF4827">
        <w:rPr>
          <w:rFonts w:cs="Arial"/>
          <w:b/>
          <w:bCs/>
          <w:lang w:val="it-IT"/>
        </w:rPr>
        <w:t>Attenzione</w:t>
      </w:r>
      <w:r w:rsidRPr="00EF4827">
        <w:rPr>
          <w:rFonts w:cs="Arial"/>
          <w:lang w:val="it-IT"/>
        </w:rPr>
        <w:t>: questa procedura è necessaria per evitare che i pazienti, soprattutto quelli con gruppo sanguigno O RH1 negativo o alloimmunizzati, siano svantaggiati a causa della mancanza di CE compatibil</w:t>
      </w:r>
      <w:r w:rsidR="00EF4827" w:rsidRPr="00EF4827">
        <w:rPr>
          <w:rFonts w:cs="Arial"/>
          <w:lang w:val="it-IT"/>
        </w:rPr>
        <w:t>i</w:t>
      </w:r>
      <w:r w:rsidRPr="00EF4827">
        <w:rPr>
          <w:rFonts w:cs="Arial"/>
          <w:lang w:val="it-IT"/>
        </w:rPr>
        <w:t>.</w:t>
      </w:r>
    </w:p>
    <w:p w14:paraId="0A929860" w14:textId="77F3EDAE" w:rsidR="007976FF" w:rsidRPr="007976FF" w:rsidRDefault="007976FF" w:rsidP="007976FF">
      <w:pPr>
        <w:rPr>
          <w:rFonts w:cs="Arial"/>
          <w:lang w:val="it-IT"/>
        </w:rPr>
      </w:pPr>
      <w:r w:rsidRPr="00EF4827">
        <w:rPr>
          <w:rFonts w:cs="Arial"/>
          <w:lang w:val="it-IT"/>
        </w:rPr>
        <w:lastRenderedPageBreak/>
        <w:t xml:space="preserve">8.1.2 Selezione dell'antigene RH1: Aggiunta del secondo punto: le trasfusioni di CE RH1-positivo a riceventi RH1-negativi sono possibili in alcune situazioni (vedi § 9.4.2). </w:t>
      </w:r>
      <w:r w:rsidRPr="00EF4827">
        <w:rPr>
          <w:rFonts w:cs="Arial"/>
          <w:b/>
          <w:bCs/>
          <w:lang w:val="it-IT"/>
        </w:rPr>
        <w:t xml:space="preserve">Un cambiamento del gruppo sanguigno RH1 deve essere considerato come una trasfusione non corretta e deve essere </w:t>
      </w:r>
      <w:r w:rsidR="00EF4827" w:rsidRPr="00EF4827">
        <w:rPr>
          <w:rFonts w:cs="Arial"/>
          <w:b/>
          <w:bCs/>
          <w:lang w:val="it-IT"/>
        </w:rPr>
        <w:t>notificato</w:t>
      </w:r>
      <w:r w:rsidRPr="00EF4827">
        <w:rPr>
          <w:rFonts w:cs="Arial"/>
          <w:lang w:val="it-IT"/>
        </w:rPr>
        <w:t xml:space="preserve"> (</w:t>
      </w:r>
      <w:r w:rsidR="00EF4827" w:rsidRPr="00EF4827">
        <w:rPr>
          <w:rFonts w:cs="Arial"/>
          <w:lang w:val="it-IT"/>
        </w:rPr>
        <w:t>E</w:t>
      </w:r>
      <w:r w:rsidRPr="00EF4827">
        <w:rPr>
          <w:rFonts w:cs="Arial"/>
          <w:lang w:val="it-IT"/>
        </w:rPr>
        <w:t>movigilanza).</w:t>
      </w:r>
    </w:p>
    <w:p w14:paraId="18822DDA" w14:textId="34EC5000" w:rsidR="007976FF" w:rsidRDefault="007976FF" w:rsidP="007976FF">
      <w:pPr>
        <w:rPr>
          <w:rFonts w:cs="Arial"/>
          <w:lang w:val="it-IT"/>
        </w:rPr>
      </w:pPr>
      <w:r w:rsidRPr="00EF4827">
        <w:rPr>
          <w:rFonts w:cs="Arial"/>
          <w:lang w:val="it-IT"/>
        </w:rPr>
        <w:t>9.7 Trasfusioni di concentrati di globuli rossi irradiati: nuovo punto: per le trasfusioni intrauterine, vedere § 7.4.1.</w:t>
      </w:r>
    </w:p>
    <w:p w14:paraId="733F2235" w14:textId="77777777" w:rsidR="007976FF" w:rsidRPr="00AD6C28" w:rsidRDefault="007976FF" w:rsidP="007976FF">
      <w:pPr>
        <w:rPr>
          <w:rFonts w:cs="Arial"/>
          <w:lang w:val="it-IT"/>
        </w:rPr>
      </w:pPr>
      <w:r w:rsidRPr="00AD6C28">
        <w:rPr>
          <w:rFonts w:cs="Arial"/>
          <w:lang w:val="it-IT"/>
        </w:rPr>
        <w:t xml:space="preserve">9.8 Procedura e scelta degli emoderivati in caso di reazioni trasfusionali allergiche/anafilattiche e carenza di IgA: Aggiunta: in base alla prevalenza della carenza di IgA nella popolazione, l'incidenza delle reazioni trasfusionali di ipersensibilità dovrebbe essere maggiore. Ci si aspetterebbe che 1:1000 trasfusioni causino una reazione trasfusionale di ipersensibilità. </w:t>
      </w:r>
    </w:p>
    <w:p w14:paraId="58102FA8" w14:textId="77777777" w:rsidR="007976FF" w:rsidRPr="00AD6C28" w:rsidRDefault="007976FF" w:rsidP="007976FF">
      <w:pPr>
        <w:rPr>
          <w:rFonts w:cs="Arial"/>
          <w:lang w:val="it-IT"/>
        </w:rPr>
      </w:pPr>
      <w:r w:rsidRPr="00AD6C28">
        <w:rPr>
          <w:rFonts w:cs="Arial"/>
          <w:lang w:val="it-IT"/>
        </w:rPr>
        <w:t>Uno studio di emovigilanza francese ha mostrato un'incidenza di 1 su 871.911 pazienti esposti.</w:t>
      </w:r>
    </w:p>
    <w:p w14:paraId="0A699D23" w14:textId="12E2F9BB" w:rsidR="007976FF" w:rsidRDefault="007976FF" w:rsidP="007976FF">
      <w:pPr>
        <w:rPr>
          <w:rFonts w:cs="Arial"/>
          <w:lang w:val="it-IT"/>
        </w:rPr>
      </w:pPr>
      <w:r w:rsidRPr="00AD6C28">
        <w:rPr>
          <w:rFonts w:cs="Arial"/>
          <w:lang w:val="it-IT"/>
        </w:rPr>
        <w:t xml:space="preserve">Le persone con titoli IgA misurabili di solito non sviluppano anticorpi anti-IgA. Inoltre, attualmente è possibile misurare solo gli anti-IgA IgG, ma non ancora gli anti-IgA IgE, che potrebbero essere ugualmente </w:t>
      </w:r>
      <w:r w:rsidR="00EF4827" w:rsidRPr="00AD6C28">
        <w:rPr>
          <w:rFonts w:cs="Arial"/>
          <w:lang w:val="it-IT"/>
        </w:rPr>
        <w:t xml:space="preserve">essere all’origine della </w:t>
      </w:r>
      <w:r w:rsidRPr="00AD6C28">
        <w:rPr>
          <w:rFonts w:cs="Arial"/>
          <w:lang w:val="it-IT"/>
        </w:rPr>
        <w:t>clinica. Questo potrebbe spiegare la discrepanza tra reazioni effettive e reazioni attese.</w:t>
      </w:r>
    </w:p>
    <w:p w14:paraId="225D28B1" w14:textId="77777777" w:rsidR="007976FF" w:rsidRPr="00AD2433" w:rsidRDefault="007976FF" w:rsidP="007976FF">
      <w:pPr>
        <w:rPr>
          <w:rFonts w:cs="Arial"/>
          <w:lang w:val="it-IT"/>
        </w:rPr>
      </w:pPr>
      <w:r w:rsidRPr="00AD2433">
        <w:rPr>
          <w:rFonts w:cs="Arial"/>
          <w:lang w:val="it-IT"/>
        </w:rPr>
        <w:t xml:space="preserve">9.9 Procedura e scelta degli emoderivati per la terapia con anticorpi monoclonali: gli </w:t>
      </w:r>
      <w:r w:rsidRPr="00AD2433">
        <w:rPr>
          <w:rFonts w:cs="Arial"/>
          <w:b/>
          <w:bCs/>
          <w:lang w:val="it-IT"/>
        </w:rPr>
        <w:t>anticorpi monoclonali come gli anti-CD38 o gli anti-CD47</w:t>
      </w:r>
      <w:r w:rsidRPr="00AD2433">
        <w:rPr>
          <w:rFonts w:cs="Arial"/>
          <w:lang w:val="it-IT"/>
        </w:rPr>
        <w:t xml:space="preserve"> sono utilizzati, ad esempio, nel trattamento di malattie emato-oncologiche e autoimmuni.</w:t>
      </w:r>
    </w:p>
    <w:p w14:paraId="6AEEDFE5" w14:textId="5C3A2CD7" w:rsidR="007976FF" w:rsidRPr="00AD2433" w:rsidRDefault="007976FF" w:rsidP="007976FF">
      <w:pPr>
        <w:rPr>
          <w:rFonts w:cs="Arial"/>
          <w:b/>
          <w:bCs/>
          <w:lang w:val="it-IT"/>
        </w:rPr>
      </w:pPr>
      <w:r w:rsidRPr="00AD2433">
        <w:rPr>
          <w:rFonts w:cs="Arial"/>
          <w:b/>
          <w:bCs/>
          <w:lang w:val="it-IT"/>
        </w:rPr>
        <w:t xml:space="preserve">Prima di iniziare la terapia con anticorpi monoclonali </w:t>
      </w:r>
      <w:r w:rsidRPr="00AD2433">
        <w:rPr>
          <w:rFonts w:cs="Arial"/>
          <w:b/>
          <w:bCs/>
          <w:strike/>
          <w:lang w:val="it-IT"/>
        </w:rPr>
        <w:t>come gli anti-CD38</w:t>
      </w:r>
      <w:r w:rsidRPr="00AD2433">
        <w:rPr>
          <w:rFonts w:cs="Arial"/>
          <w:b/>
          <w:bCs/>
          <w:lang w:val="it-IT"/>
        </w:rPr>
        <w:t xml:space="preserve">, devono essere disponibili almeno due determinazioni valide del gruppo sanguigno e un test di screening degli anticorpi valido. È inoltre consigliabile effettuare un fenotipo esteso o una genotipizzazione prima di iniziare la terapia. Questa procedura è necessaria per poter trasfondere i pazienti in situazioni in cui gli anticorpi </w:t>
      </w:r>
      <w:r w:rsidR="00EF4827" w:rsidRPr="00AD2433">
        <w:rPr>
          <w:rFonts w:cs="Arial"/>
          <w:b/>
          <w:bCs/>
          <w:lang w:val="it-IT"/>
        </w:rPr>
        <w:t xml:space="preserve">di importanza </w:t>
      </w:r>
      <w:r w:rsidRPr="00AD2433">
        <w:rPr>
          <w:rFonts w:cs="Arial"/>
          <w:b/>
          <w:bCs/>
          <w:lang w:val="it-IT"/>
        </w:rPr>
        <w:t>clinic</w:t>
      </w:r>
      <w:r w:rsidR="00EF4827" w:rsidRPr="00AD2433">
        <w:rPr>
          <w:rFonts w:cs="Arial"/>
          <w:b/>
          <w:bCs/>
          <w:lang w:val="it-IT"/>
        </w:rPr>
        <w:t>a</w:t>
      </w:r>
      <w:r w:rsidRPr="00AD2433">
        <w:rPr>
          <w:rFonts w:cs="Arial"/>
          <w:b/>
          <w:bCs/>
          <w:lang w:val="it-IT"/>
        </w:rPr>
        <w:t xml:space="preserve"> non possono essere esclusi con assoluta certezza (inibizione insufficiente degli anticorpi monoclonali interferenti). Questo </w:t>
      </w:r>
      <w:r w:rsidR="00AD6C28" w:rsidRPr="00AD2433">
        <w:rPr>
          <w:rFonts w:cs="Arial"/>
          <w:b/>
          <w:bCs/>
          <w:lang w:val="it-IT"/>
        </w:rPr>
        <w:t>dovrebbe permettere di</w:t>
      </w:r>
      <w:r w:rsidRPr="00AD2433">
        <w:rPr>
          <w:rFonts w:cs="Arial"/>
          <w:b/>
          <w:bCs/>
          <w:lang w:val="it-IT"/>
        </w:rPr>
        <w:t xml:space="preserve"> evitare di ritardare la trasfusione del paziente. </w:t>
      </w:r>
    </w:p>
    <w:p w14:paraId="2F48E1A9" w14:textId="69104CF9" w:rsidR="007976FF" w:rsidRPr="00AD6C28" w:rsidRDefault="007976FF" w:rsidP="007976FF">
      <w:pPr>
        <w:rPr>
          <w:rFonts w:cs="Arial"/>
          <w:b/>
          <w:bCs/>
          <w:lang w:val="it-IT"/>
        </w:rPr>
      </w:pPr>
      <w:r w:rsidRPr="00AD2433">
        <w:rPr>
          <w:rFonts w:cs="Arial"/>
          <w:b/>
          <w:bCs/>
          <w:lang w:val="it-IT"/>
        </w:rPr>
        <w:t>Nel caso degli anti-CD38, la determinazione del gruppo sanguigno può essere effettuata anche dopo l'inizio della terapia (...).</w:t>
      </w:r>
    </w:p>
    <w:p w14:paraId="58A0A32B" w14:textId="5A091FAF" w:rsidR="007976FF" w:rsidRPr="007976FF" w:rsidRDefault="007976FF" w:rsidP="007976FF">
      <w:pPr>
        <w:rPr>
          <w:rFonts w:cs="Arial"/>
          <w:lang w:val="it-IT"/>
        </w:rPr>
      </w:pPr>
      <w:r w:rsidRPr="00047D06">
        <w:rPr>
          <w:rFonts w:cs="Arial"/>
          <w:lang w:val="it-IT"/>
        </w:rPr>
        <w:t xml:space="preserve">9.11 </w:t>
      </w:r>
      <w:r w:rsidR="00AD2433" w:rsidRPr="00047D06">
        <w:rPr>
          <w:rFonts w:cs="Arial"/>
          <w:lang w:val="it-IT"/>
        </w:rPr>
        <w:t>Drepanocitosi</w:t>
      </w:r>
      <w:r w:rsidRPr="00047D06">
        <w:rPr>
          <w:rFonts w:cs="Arial"/>
          <w:lang w:val="it-IT"/>
        </w:rPr>
        <w:t xml:space="preserve">: Adattamento 13° punto: (...) Questo può ridurre al minimo il rischio di una reazione trasfusionale dovuta a un </w:t>
      </w:r>
      <w:r w:rsidRPr="00047D06">
        <w:rPr>
          <w:rFonts w:cs="Arial"/>
          <w:b/>
          <w:bCs/>
          <w:lang w:val="it-IT"/>
        </w:rPr>
        <w:t xml:space="preserve">anticorpo </w:t>
      </w:r>
      <w:r w:rsidR="00AD2433" w:rsidRPr="00047D06">
        <w:rPr>
          <w:rFonts w:cs="Arial"/>
          <w:b/>
          <w:bCs/>
          <w:lang w:val="it-IT"/>
        </w:rPr>
        <w:t xml:space="preserve">contro un </w:t>
      </w:r>
      <w:r w:rsidRPr="00047D06">
        <w:rPr>
          <w:rFonts w:cs="Arial"/>
          <w:b/>
          <w:bCs/>
          <w:lang w:val="it-IT"/>
        </w:rPr>
        <w:t>antigene a bassa frequenza</w:t>
      </w:r>
      <w:r w:rsidRPr="00047D06">
        <w:rPr>
          <w:rFonts w:cs="Arial"/>
          <w:lang w:val="it-IT"/>
        </w:rPr>
        <w:t xml:space="preserve"> ("anti-priva</w:t>
      </w:r>
      <w:r w:rsidR="00AD2433" w:rsidRPr="00047D06">
        <w:rPr>
          <w:rFonts w:cs="Arial"/>
          <w:lang w:val="it-IT"/>
        </w:rPr>
        <w:t>to</w:t>
      </w:r>
      <w:r w:rsidRPr="00047D06">
        <w:rPr>
          <w:rFonts w:cs="Arial"/>
          <w:lang w:val="it-IT"/>
        </w:rPr>
        <w:t>").</w:t>
      </w:r>
    </w:p>
    <w:p w14:paraId="43A10A03" w14:textId="3B46EB33" w:rsidR="007976FF" w:rsidRDefault="007976FF" w:rsidP="007976FF">
      <w:pPr>
        <w:rPr>
          <w:rFonts w:cs="Arial"/>
          <w:lang w:val="it-IT"/>
        </w:rPr>
      </w:pPr>
      <w:r w:rsidRPr="007976FF">
        <w:rPr>
          <w:rFonts w:cs="Arial"/>
          <w:lang w:val="it-IT"/>
        </w:rPr>
        <w:t>10</w:t>
      </w:r>
      <w:r w:rsidR="00AD2433">
        <w:rPr>
          <w:rFonts w:cs="Arial"/>
          <w:lang w:val="it-IT"/>
        </w:rPr>
        <w:t>.</w:t>
      </w:r>
      <w:r w:rsidRPr="007976FF">
        <w:rPr>
          <w:rFonts w:cs="Arial"/>
          <w:lang w:val="it-IT"/>
        </w:rPr>
        <w:t xml:space="preserve"> Reazioni trasfusionali avverse ed </w:t>
      </w:r>
      <w:r w:rsidRPr="00AD2433">
        <w:rPr>
          <w:rFonts w:cs="Arial"/>
          <w:b/>
          <w:bCs/>
          <w:lang w:val="it-IT"/>
        </w:rPr>
        <w:t>errori trasfusionali</w:t>
      </w:r>
      <w:r w:rsidRPr="007976FF">
        <w:rPr>
          <w:rFonts w:cs="Arial"/>
          <w:lang w:val="it-IT"/>
        </w:rPr>
        <w:t xml:space="preserve">: </w:t>
      </w:r>
      <w:r w:rsidR="00AD2433" w:rsidRPr="00AD2433">
        <w:rPr>
          <w:rFonts w:cs="Arial"/>
          <w:b/>
          <w:bCs/>
          <w:lang w:val="it-IT"/>
        </w:rPr>
        <w:t>La gestione</w:t>
      </w:r>
      <w:r w:rsidRPr="00AD2433">
        <w:rPr>
          <w:rFonts w:cs="Arial"/>
          <w:b/>
          <w:bCs/>
          <w:lang w:val="it-IT"/>
        </w:rPr>
        <w:t xml:space="preserve"> di eventi trasfusionali avversi (ad es. reazioni trasfusionali, errori trasfusionali) fa parte del dovere di diligenza nella manipolazione degli emoderivati e la </w:t>
      </w:r>
      <w:r w:rsidR="00AD2433" w:rsidRPr="00AD2433">
        <w:rPr>
          <w:rFonts w:cs="Arial"/>
          <w:b/>
          <w:bCs/>
          <w:lang w:val="it-IT"/>
        </w:rPr>
        <w:t>notifica</w:t>
      </w:r>
      <w:r w:rsidRPr="00AD2433">
        <w:rPr>
          <w:rFonts w:cs="Arial"/>
          <w:b/>
          <w:bCs/>
          <w:lang w:val="it-IT"/>
        </w:rPr>
        <w:t xml:space="preserve"> degli eventi è un</w:t>
      </w:r>
      <w:r w:rsidR="00AD2433" w:rsidRPr="00AD2433">
        <w:rPr>
          <w:rFonts w:cs="Arial"/>
          <w:b/>
          <w:bCs/>
          <w:lang w:val="it-IT"/>
        </w:rPr>
        <w:t xml:space="preserve">’esigenza </w:t>
      </w:r>
      <w:r w:rsidRPr="00AD2433">
        <w:rPr>
          <w:rFonts w:cs="Arial"/>
          <w:b/>
          <w:bCs/>
          <w:lang w:val="it-IT"/>
        </w:rPr>
        <w:t xml:space="preserve">legale nel </w:t>
      </w:r>
      <w:r w:rsidR="00AD2433" w:rsidRPr="00AD2433">
        <w:rPr>
          <w:rFonts w:cs="Arial"/>
          <w:b/>
          <w:bCs/>
          <w:lang w:val="it-IT"/>
        </w:rPr>
        <w:t>quadro</w:t>
      </w:r>
      <w:r w:rsidRPr="00AD2433">
        <w:rPr>
          <w:rFonts w:cs="Arial"/>
          <w:b/>
          <w:bCs/>
          <w:lang w:val="it-IT"/>
        </w:rPr>
        <w:t xml:space="preserve"> dell'emovigilanza (</w:t>
      </w:r>
      <w:r w:rsidR="00AD2433" w:rsidRPr="00AD2433">
        <w:rPr>
          <w:rFonts w:cs="Arial"/>
          <w:b/>
          <w:bCs/>
          <w:lang w:val="it-IT"/>
        </w:rPr>
        <w:t>Later</w:t>
      </w:r>
      <w:r w:rsidRPr="00AD2433">
        <w:rPr>
          <w:rFonts w:cs="Arial"/>
          <w:b/>
          <w:bCs/>
          <w:lang w:val="it-IT"/>
        </w:rPr>
        <w:t xml:space="preserve"> art. 3, </w:t>
      </w:r>
      <w:r w:rsidR="00AD2433" w:rsidRPr="00AD2433">
        <w:rPr>
          <w:rFonts w:cs="Arial"/>
          <w:b/>
          <w:bCs/>
          <w:lang w:val="it-IT"/>
        </w:rPr>
        <w:t>Later</w:t>
      </w:r>
      <w:r w:rsidRPr="00AD2433">
        <w:rPr>
          <w:rFonts w:cs="Arial"/>
          <w:b/>
          <w:bCs/>
          <w:lang w:val="it-IT"/>
        </w:rPr>
        <w:t xml:space="preserve"> art. 59)</w:t>
      </w:r>
      <w:r w:rsidRPr="007976FF">
        <w:rPr>
          <w:rFonts w:cs="Arial"/>
          <w:lang w:val="it-IT"/>
        </w:rPr>
        <w:t>. Il presente documento tratta solo le reazioni trasfusionali avverse che si verificano nel contesto delle indagini immunoematologiche su campioni dei pazienti.</w:t>
      </w:r>
    </w:p>
    <w:p w14:paraId="160620CB" w14:textId="7B0486D8" w:rsidR="007976FF" w:rsidRDefault="007976FF" w:rsidP="007976FF">
      <w:pPr>
        <w:rPr>
          <w:rFonts w:cs="Arial"/>
          <w:strike/>
          <w:lang w:val="it-IT"/>
        </w:rPr>
      </w:pPr>
      <w:r w:rsidRPr="007976FF">
        <w:rPr>
          <w:rFonts w:cs="Arial"/>
          <w:strike/>
          <w:lang w:val="it-IT"/>
        </w:rPr>
        <w:t>Le informazioni sull'ulteriore classificazione e chiarimento delle reazioni trasfusionali sono disponibili sul sito web di Swissmedic (Haemovigilance: https://www.swissmedic.ch/swissmedic/de/home/humanarzneimittel/marktueberwachung/haemovigila nce/haemovigilance-reporting.html</w:t>
      </w:r>
      <w:r w:rsidRPr="00421197">
        <w:rPr>
          <w:rFonts w:cs="Arial"/>
          <w:b/>
          <w:bCs/>
          <w:strike/>
          <w:lang w:val="it-IT"/>
        </w:rPr>
        <w:t>)</w:t>
      </w:r>
      <w:r w:rsidRPr="00421197">
        <w:rPr>
          <w:rFonts w:cs="Arial"/>
          <w:b/>
          <w:bCs/>
          <w:lang w:val="it-IT"/>
        </w:rPr>
        <w:t xml:space="preserve"> Il chiarimento delle allo-immunizzazioni è elencato altrove</w:t>
      </w:r>
      <w:r w:rsidR="00AD2433" w:rsidRPr="00421197">
        <w:rPr>
          <w:rFonts w:cs="Arial"/>
          <w:b/>
          <w:bCs/>
          <w:lang w:val="it-IT"/>
        </w:rPr>
        <w:t xml:space="preserve"> – se verificati a seguito di una trasfusione</w:t>
      </w:r>
      <w:r w:rsidRPr="00421197">
        <w:rPr>
          <w:rFonts w:cs="Arial"/>
          <w:b/>
          <w:bCs/>
          <w:lang w:val="it-IT"/>
        </w:rPr>
        <w:t xml:space="preserve"> gli allo-anticorpi sono classificati come effetti </w:t>
      </w:r>
      <w:r w:rsidR="00AD2433" w:rsidRPr="00421197">
        <w:rPr>
          <w:rFonts w:cs="Arial"/>
          <w:b/>
          <w:bCs/>
          <w:lang w:val="it-IT"/>
        </w:rPr>
        <w:t>secondari</w:t>
      </w:r>
      <w:r w:rsidRPr="00421197">
        <w:rPr>
          <w:rFonts w:cs="Arial"/>
          <w:b/>
          <w:bCs/>
          <w:lang w:val="it-IT"/>
        </w:rPr>
        <w:t xml:space="preserve"> della trasfusione </w:t>
      </w:r>
      <w:r w:rsidR="00AD2433" w:rsidRPr="00421197">
        <w:rPr>
          <w:rFonts w:cs="Arial"/>
          <w:b/>
          <w:bCs/>
          <w:lang w:val="it-IT"/>
        </w:rPr>
        <w:t xml:space="preserve">stessa </w:t>
      </w:r>
      <w:r w:rsidRPr="00421197">
        <w:rPr>
          <w:rFonts w:cs="Arial"/>
          <w:b/>
          <w:bCs/>
          <w:lang w:val="it-IT"/>
        </w:rPr>
        <w:t>e devono essere segnalati (vedi § 5.3 e 5.7). Ulteriori informazioni (classificazione e chiarimento delle reazioni trasfusionali e degli errori trasfusionali) sono disponibili sul sito web di Swissmedic</w:t>
      </w:r>
      <w:r w:rsidRPr="00421197">
        <w:rPr>
          <w:rFonts w:cs="Arial"/>
          <w:lang w:val="it-IT"/>
        </w:rPr>
        <w:t xml:space="preserve"> (Haemovigilance: </w:t>
      </w:r>
      <w:hyperlink r:id="rId11" w:history="1">
        <w:r w:rsidR="00421197" w:rsidRPr="00421197">
          <w:rPr>
            <w:rStyle w:val="Hyperlink"/>
            <w:b/>
            <w:bCs/>
            <w:szCs w:val="20"/>
            <w:lang w:val="it-CH"/>
          </w:rPr>
          <w:t>Haemovigilance (swissmedic.ch)</w:t>
        </w:r>
      </w:hyperlink>
      <w:r w:rsidR="00421197" w:rsidRPr="00421197">
        <w:rPr>
          <w:b/>
          <w:bCs/>
          <w:szCs w:val="20"/>
          <w:lang w:val="it-CH"/>
        </w:rPr>
        <w:t>.</w:t>
      </w:r>
      <w:r w:rsidR="00421197" w:rsidRPr="00421197">
        <w:rPr>
          <w:szCs w:val="20"/>
          <w:lang w:val="it-CH"/>
        </w:rPr>
        <w:t xml:space="preserve"> </w:t>
      </w:r>
      <w:hyperlink r:id="rId12" w:history="1">
        <w:r w:rsidRPr="0031631E">
          <w:rPr>
            <w:rStyle w:val="Hyperlink"/>
            <w:rFonts w:cs="Arial"/>
            <w:strike/>
            <w:lang w:val="it-IT"/>
          </w:rPr>
          <w:t>https://www.swissmedic.ch/swissmedic/de/home/humanarzneimittel/marktueberwachung/haemovigila nce/haemovigilance-reporting.html</w:t>
        </w:r>
      </w:hyperlink>
      <w:r w:rsidRPr="007976FF">
        <w:rPr>
          <w:rFonts w:cs="Arial"/>
          <w:strike/>
          <w:lang w:val="it-IT"/>
        </w:rPr>
        <w:t>).</w:t>
      </w:r>
    </w:p>
    <w:p w14:paraId="608C234A" w14:textId="0E18BFE3" w:rsidR="007976FF" w:rsidRPr="00421197" w:rsidRDefault="007976FF" w:rsidP="007976FF">
      <w:pPr>
        <w:rPr>
          <w:rFonts w:cs="Arial"/>
          <w:b/>
          <w:bCs/>
          <w:lang w:val="it-IT"/>
        </w:rPr>
      </w:pPr>
      <w:r w:rsidRPr="00421197">
        <w:rPr>
          <w:rFonts w:cs="Arial"/>
          <w:b/>
          <w:bCs/>
          <w:lang w:val="it-IT"/>
        </w:rPr>
        <w:t xml:space="preserve">10.2 </w:t>
      </w:r>
      <w:r w:rsidR="00AF2502">
        <w:rPr>
          <w:rFonts w:cs="Arial"/>
          <w:b/>
          <w:bCs/>
          <w:lang w:val="it-IT"/>
        </w:rPr>
        <w:t>Errori trasfusionali</w:t>
      </w:r>
      <w:r w:rsidRPr="007976FF">
        <w:rPr>
          <w:rFonts w:cs="Arial"/>
          <w:lang w:val="it-IT"/>
        </w:rPr>
        <w:t xml:space="preserve"> (nuovo sottocapitolo): </w:t>
      </w:r>
      <w:r w:rsidRPr="00421197">
        <w:rPr>
          <w:rFonts w:cs="Arial"/>
          <w:b/>
          <w:bCs/>
          <w:lang w:val="it-IT"/>
        </w:rPr>
        <w:t xml:space="preserve">Gli errori trasfusionali sono eventi in cui, ad esempio, è stato trasfuso un prodotto ematico non idoneo, incompatibile o solo accidentalmente compatibile. I </w:t>
      </w:r>
      <w:r w:rsidR="00421197" w:rsidRPr="00421197">
        <w:rPr>
          <w:rFonts w:cs="Arial"/>
          <w:b/>
          <w:bCs/>
          <w:lang w:val="it-IT"/>
        </w:rPr>
        <w:t>“near miss”</w:t>
      </w:r>
      <w:r w:rsidRPr="00421197">
        <w:rPr>
          <w:rFonts w:cs="Arial"/>
          <w:b/>
          <w:bCs/>
          <w:lang w:val="it-IT"/>
        </w:rPr>
        <w:t xml:space="preserve"> sono errori di trasfusione che sono stati evitati</w:t>
      </w:r>
      <w:r w:rsidR="00421197" w:rsidRPr="00421197">
        <w:rPr>
          <w:rFonts w:cs="Arial"/>
          <w:b/>
          <w:bCs/>
          <w:lang w:val="it-IT"/>
        </w:rPr>
        <w:t xml:space="preserve"> per poco</w:t>
      </w:r>
      <w:r w:rsidRPr="00421197">
        <w:rPr>
          <w:rFonts w:cs="Arial"/>
          <w:b/>
          <w:bCs/>
          <w:lang w:val="it-IT"/>
        </w:rPr>
        <w:t xml:space="preserve">. Se durante i test immunoematologici viene rilevato un errore o un quasi errore trasfusionale, il medico responsabile deve essere informato immediatamente e deve essere </w:t>
      </w:r>
      <w:r w:rsidRPr="00421197">
        <w:rPr>
          <w:rFonts w:cs="Arial"/>
          <w:b/>
          <w:bCs/>
          <w:lang w:val="it-IT"/>
        </w:rPr>
        <w:lastRenderedPageBreak/>
        <w:t xml:space="preserve">effettuata un'analisi delle cause. </w:t>
      </w:r>
      <w:r w:rsidR="00421197" w:rsidRPr="00421197">
        <w:rPr>
          <w:rFonts w:cs="Arial"/>
          <w:b/>
          <w:bCs/>
          <w:lang w:val="it-IT"/>
        </w:rPr>
        <w:t>La gestione dell’evento</w:t>
      </w:r>
      <w:r w:rsidRPr="00421197">
        <w:rPr>
          <w:rFonts w:cs="Arial"/>
          <w:b/>
          <w:bCs/>
          <w:lang w:val="it-IT"/>
        </w:rPr>
        <w:t xml:space="preserve"> e le eventuali misure adottate devono essere documentate nell'ambito del sistema di </w:t>
      </w:r>
      <w:r w:rsidR="00421197" w:rsidRPr="00421197">
        <w:rPr>
          <w:rFonts w:cs="Arial"/>
          <w:b/>
          <w:bCs/>
          <w:lang w:val="it-IT"/>
        </w:rPr>
        <w:t>assicurazione</w:t>
      </w:r>
      <w:r w:rsidRPr="00421197">
        <w:rPr>
          <w:rFonts w:cs="Arial"/>
          <w:b/>
          <w:bCs/>
          <w:lang w:val="it-IT"/>
        </w:rPr>
        <w:t xml:space="preserve"> della qualità e gli eventi devono essere segnalati a Swissmedic (vedi § 10.3).</w:t>
      </w:r>
    </w:p>
    <w:p w14:paraId="0642D480" w14:textId="60AB064F" w:rsidR="007976FF" w:rsidRDefault="007976FF" w:rsidP="007976FF">
      <w:pPr>
        <w:rPr>
          <w:rFonts w:cs="Arial"/>
          <w:lang w:val="it-IT"/>
        </w:rPr>
      </w:pPr>
      <w:r w:rsidRPr="007976FF">
        <w:rPr>
          <w:rFonts w:cs="Arial"/>
          <w:lang w:val="it-IT"/>
        </w:rPr>
        <w:t xml:space="preserve">10.3 </w:t>
      </w:r>
      <w:r w:rsidR="00421197">
        <w:rPr>
          <w:rFonts w:cs="Arial"/>
          <w:lang w:val="it-IT"/>
        </w:rPr>
        <w:t>Notifiche</w:t>
      </w:r>
      <w:r w:rsidRPr="007976FF">
        <w:rPr>
          <w:rFonts w:cs="Arial"/>
          <w:lang w:val="it-IT"/>
        </w:rPr>
        <w:t xml:space="preserve"> (nuovo sottocapitolo): Le reazioni trasfusionali avverse, gli errori trasfusionali e gli errori trasfusionali evitati per poco </w:t>
      </w:r>
      <w:r w:rsidR="00421197">
        <w:rPr>
          <w:rFonts w:cs="Arial"/>
          <w:lang w:val="it-IT"/>
        </w:rPr>
        <w:t xml:space="preserve">(near miss) </w:t>
      </w:r>
      <w:r w:rsidRPr="007976FF">
        <w:rPr>
          <w:rFonts w:cs="Arial"/>
          <w:lang w:val="it-IT"/>
        </w:rPr>
        <w:t>devono essere segnalati a Swissmedic. Il responsabile dell'emovigilanza o il medico trasfusionista è responsabile dell'adempimento dell'obbligo di segnalazione. Ulteriori informazioni e i relativi moduli sono disponibili presso Swissmedic (Haemovigilance (swissmedic.ch)). Se si sospetta una reazione trasfusionale avversa, è necessario informare immediatamente anche il produttore (</w:t>
      </w:r>
      <w:r w:rsidR="00421197">
        <w:rPr>
          <w:rFonts w:cs="Arial"/>
          <w:lang w:val="it-IT"/>
        </w:rPr>
        <w:t>STCRS</w:t>
      </w:r>
      <w:r w:rsidRPr="007976FF">
        <w:rPr>
          <w:rFonts w:cs="Arial"/>
          <w:lang w:val="it-IT"/>
        </w:rPr>
        <w:t>), in modo da poter bloccare o richiamare tutti gli altri prodotti potenzialmente interessati (ad esempio, provenienti dallo stesso donatore).</w:t>
      </w:r>
    </w:p>
    <w:p w14:paraId="275D0D43" w14:textId="77777777" w:rsidR="007976FF" w:rsidRDefault="007976FF" w:rsidP="007976FF">
      <w:pPr>
        <w:rPr>
          <w:rFonts w:cs="Arial"/>
          <w:lang w:val="it-IT"/>
        </w:rPr>
      </w:pPr>
    </w:p>
    <w:p w14:paraId="23A2F961" w14:textId="723678F4" w:rsidR="007976FF" w:rsidRDefault="007976FF" w:rsidP="007976FF">
      <w:pPr>
        <w:rPr>
          <w:rFonts w:cs="Arial"/>
          <w:lang w:val="it-IT"/>
        </w:rPr>
      </w:pPr>
      <w:r w:rsidRPr="007976FF">
        <w:rPr>
          <w:rFonts w:cs="Arial"/>
          <w:lang w:val="it-IT"/>
        </w:rPr>
        <w:t xml:space="preserve">I riferimenti </w:t>
      </w:r>
      <w:r>
        <w:rPr>
          <w:rFonts w:cs="Arial"/>
          <w:lang w:val="it-IT"/>
        </w:rPr>
        <w:t xml:space="preserve">bibliografici </w:t>
      </w:r>
      <w:r w:rsidRPr="007976FF">
        <w:rPr>
          <w:rFonts w:cs="Arial"/>
          <w:lang w:val="it-IT"/>
        </w:rPr>
        <w:t>sono stati aggiornati</w:t>
      </w:r>
      <w:r>
        <w:rPr>
          <w:rFonts w:cs="Arial"/>
          <w:lang w:val="it-IT"/>
        </w:rPr>
        <w:t>.</w:t>
      </w:r>
    </w:p>
    <w:p w14:paraId="542C0110" w14:textId="77777777" w:rsidR="007976FF" w:rsidRDefault="007976FF" w:rsidP="007976FF">
      <w:pPr>
        <w:rPr>
          <w:rFonts w:cs="Arial"/>
          <w:lang w:val="it-IT"/>
        </w:rPr>
      </w:pPr>
    </w:p>
    <w:p w14:paraId="0980D43C" w14:textId="77777777" w:rsidR="007976FF" w:rsidRDefault="007976FF" w:rsidP="007976FF">
      <w:pPr>
        <w:rPr>
          <w:rFonts w:cs="Arial"/>
          <w:lang w:val="it-IT"/>
        </w:rPr>
      </w:pPr>
    </w:p>
    <w:p w14:paraId="69114E4A" w14:textId="77777777" w:rsidR="007976FF" w:rsidRDefault="007976FF" w:rsidP="007976FF">
      <w:pPr>
        <w:rPr>
          <w:rFonts w:cs="Arial"/>
          <w:lang w:val="it-IT"/>
        </w:rPr>
      </w:pPr>
    </w:p>
    <w:p w14:paraId="7A6FD8CE" w14:textId="77777777" w:rsidR="007976FF" w:rsidRDefault="007976FF" w:rsidP="007976FF">
      <w:pPr>
        <w:rPr>
          <w:rFonts w:cs="Arial"/>
          <w:lang w:val="it-IT"/>
        </w:rPr>
      </w:pPr>
    </w:p>
    <w:p w14:paraId="55A0D793" w14:textId="77777777" w:rsidR="007976FF" w:rsidRDefault="007976FF" w:rsidP="007976FF">
      <w:pPr>
        <w:rPr>
          <w:rFonts w:cs="Arial"/>
          <w:lang w:val="it-IT"/>
        </w:rPr>
      </w:pPr>
    </w:p>
    <w:p w14:paraId="077384F7" w14:textId="77777777" w:rsidR="007976FF" w:rsidRDefault="007976FF" w:rsidP="007976FF">
      <w:pPr>
        <w:rPr>
          <w:rFonts w:cs="Arial"/>
          <w:lang w:val="it-IT"/>
        </w:rPr>
      </w:pPr>
    </w:p>
    <w:p w14:paraId="7D326DE0" w14:textId="77777777" w:rsidR="007976FF" w:rsidRDefault="007976FF" w:rsidP="007976FF">
      <w:pPr>
        <w:rPr>
          <w:rFonts w:cs="Arial"/>
          <w:lang w:val="it-IT"/>
        </w:rPr>
      </w:pPr>
    </w:p>
    <w:p w14:paraId="40986B03" w14:textId="77777777" w:rsidR="007976FF" w:rsidRDefault="007976FF" w:rsidP="007976FF">
      <w:pPr>
        <w:rPr>
          <w:rFonts w:cs="Arial"/>
          <w:lang w:val="it-IT"/>
        </w:rPr>
      </w:pPr>
    </w:p>
    <w:p w14:paraId="78F89DA9" w14:textId="77777777" w:rsidR="007976FF" w:rsidRDefault="007976FF" w:rsidP="007976FF">
      <w:pPr>
        <w:rPr>
          <w:rFonts w:cs="Arial"/>
          <w:lang w:val="it-IT"/>
        </w:rPr>
      </w:pPr>
    </w:p>
    <w:p w14:paraId="50986142" w14:textId="77777777" w:rsidR="007976FF" w:rsidRDefault="007976FF" w:rsidP="007976FF">
      <w:pPr>
        <w:rPr>
          <w:rFonts w:cs="Arial"/>
          <w:lang w:val="it-IT"/>
        </w:rPr>
      </w:pPr>
    </w:p>
    <w:p w14:paraId="7BA953F8" w14:textId="77777777" w:rsidR="007976FF" w:rsidRDefault="007976FF" w:rsidP="007976FF">
      <w:pPr>
        <w:rPr>
          <w:rFonts w:cs="Arial"/>
          <w:lang w:val="it-IT"/>
        </w:rPr>
      </w:pPr>
    </w:p>
    <w:p w14:paraId="761CEA03" w14:textId="77777777" w:rsidR="007976FF" w:rsidRDefault="007976FF" w:rsidP="007976FF">
      <w:pPr>
        <w:rPr>
          <w:rFonts w:cs="Arial"/>
          <w:lang w:val="it-IT"/>
        </w:rPr>
      </w:pPr>
    </w:p>
    <w:p w14:paraId="190CB55F" w14:textId="77777777" w:rsidR="007976FF" w:rsidRDefault="007976FF" w:rsidP="007976FF">
      <w:pPr>
        <w:rPr>
          <w:rFonts w:cs="Arial"/>
          <w:lang w:val="it-IT"/>
        </w:rPr>
      </w:pPr>
    </w:p>
    <w:p w14:paraId="0F691989" w14:textId="77777777" w:rsidR="007976FF" w:rsidRDefault="007976FF" w:rsidP="007976FF">
      <w:pPr>
        <w:rPr>
          <w:rFonts w:cs="Arial"/>
          <w:lang w:val="it-IT"/>
        </w:rPr>
      </w:pPr>
    </w:p>
    <w:p w14:paraId="3F489703" w14:textId="77777777" w:rsidR="007976FF" w:rsidRDefault="007976FF" w:rsidP="007976FF">
      <w:pPr>
        <w:rPr>
          <w:rFonts w:cs="Arial"/>
          <w:lang w:val="it-IT"/>
        </w:rPr>
      </w:pPr>
    </w:p>
    <w:p w14:paraId="5964C005" w14:textId="77777777" w:rsidR="007976FF" w:rsidRDefault="007976FF" w:rsidP="007976FF">
      <w:pPr>
        <w:rPr>
          <w:rFonts w:cs="Arial"/>
          <w:lang w:val="it-IT"/>
        </w:rPr>
      </w:pPr>
    </w:p>
    <w:p w14:paraId="461D2E67" w14:textId="77777777" w:rsidR="007976FF" w:rsidRDefault="007976FF" w:rsidP="007976FF">
      <w:pPr>
        <w:rPr>
          <w:rFonts w:cs="Arial"/>
          <w:lang w:val="it-IT"/>
        </w:rPr>
      </w:pPr>
    </w:p>
    <w:p w14:paraId="0EAE1433" w14:textId="77777777" w:rsidR="007976FF" w:rsidRDefault="007976FF" w:rsidP="007976FF">
      <w:pPr>
        <w:rPr>
          <w:rFonts w:cs="Arial"/>
          <w:lang w:val="it-IT"/>
        </w:rPr>
      </w:pPr>
    </w:p>
    <w:p w14:paraId="6D320CB3" w14:textId="77777777" w:rsidR="007976FF" w:rsidRDefault="007976FF" w:rsidP="007976FF">
      <w:pPr>
        <w:rPr>
          <w:rFonts w:cs="Arial"/>
          <w:lang w:val="it-IT"/>
        </w:rPr>
      </w:pPr>
    </w:p>
    <w:p w14:paraId="00581230" w14:textId="77777777" w:rsidR="007976FF" w:rsidRDefault="007976FF" w:rsidP="007976FF">
      <w:pPr>
        <w:rPr>
          <w:rFonts w:cs="Arial"/>
          <w:lang w:val="it-IT"/>
        </w:rPr>
      </w:pPr>
    </w:p>
    <w:p w14:paraId="1E896EFC" w14:textId="77777777" w:rsidR="007976FF" w:rsidRDefault="007976FF" w:rsidP="007976FF">
      <w:pPr>
        <w:rPr>
          <w:rFonts w:cs="Arial"/>
          <w:lang w:val="it-IT"/>
        </w:rPr>
      </w:pPr>
    </w:p>
    <w:p w14:paraId="7DED9C8B" w14:textId="77777777" w:rsidR="007976FF" w:rsidRDefault="007976FF" w:rsidP="007976FF">
      <w:pPr>
        <w:rPr>
          <w:rFonts w:cs="Arial"/>
          <w:lang w:val="it-IT"/>
        </w:rPr>
      </w:pPr>
    </w:p>
    <w:p w14:paraId="2C5A3CB4" w14:textId="77777777" w:rsidR="007976FF" w:rsidRDefault="007976FF" w:rsidP="007976FF">
      <w:pPr>
        <w:rPr>
          <w:rFonts w:cs="Arial"/>
          <w:lang w:val="it-IT"/>
        </w:rPr>
      </w:pPr>
    </w:p>
    <w:p w14:paraId="14A027A8" w14:textId="77777777" w:rsidR="007976FF" w:rsidRDefault="007976FF" w:rsidP="007976FF">
      <w:pPr>
        <w:rPr>
          <w:rFonts w:cs="Arial"/>
          <w:lang w:val="it-IT"/>
        </w:rPr>
      </w:pPr>
    </w:p>
    <w:p w14:paraId="1DEBB491" w14:textId="77777777" w:rsidR="007976FF" w:rsidRDefault="007976FF" w:rsidP="007976FF">
      <w:pPr>
        <w:rPr>
          <w:rFonts w:cs="Arial"/>
          <w:lang w:val="it-IT"/>
        </w:rPr>
      </w:pPr>
    </w:p>
    <w:p w14:paraId="61EE078D" w14:textId="77777777" w:rsidR="007976FF" w:rsidRDefault="007976FF" w:rsidP="007976FF">
      <w:pPr>
        <w:rPr>
          <w:rFonts w:cs="Arial"/>
          <w:lang w:val="it-IT"/>
        </w:rPr>
      </w:pPr>
    </w:p>
    <w:p w14:paraId="5E3B717E" w14:textId="77777777" w:rsidR="007976FF" w:rsidRDefault="007976FF" w:rsidP="007976FF">
      <w:pPr>
        <w:rPr>
          <w:rFonts w:cs="Arial"/>
          <w:lang w:val="it-IT"/>
        </w:rPr>
      </w:pPr>
    </w:p>
    <w:p w14:paraId="5E264B6C" w14:textId="77777777" w:rsidR="007976FF" w:rsidRDefault="007976FF" w:rsidP="007976FF">
      <w:pPr>
        <w:rPr>
          <w:rFonts w:cs="Arial"/>
          <w:lang w:val="it-IT"/>
        </w:rPr>
      </w:pPr>
    </w:p>
    <w:p w14:paraId="626BA7E1" w14:textId="41753659" w:rsidR="007976FF" w:rsidRDefault="007976FF" w:rsidP="007976FF">
      <w:pPr>
        <w:rPr>
          <w:rFonts w:cs="Arial"/>
          <w:lang w:val="it-IT"/>
        </w:rPr>
      </w:pPr>
    </w:p>
    <w:p w14:paraId="48B2CBFF" w14:textId="795D3D23" w:rsidR="00665030" w:rsidRDefault="00665030" w:rsidP="007976FF">
      <w:pPr>
        <w:rPr>
          <w:rFonts w:cs="Arial"/>
          <w:lang w:val="it-IT"/>
        </w:rPr>
      </w:pPr>
    </w:p>
    <w:p w14:paraId="08FF5A22" w14:textId="35B7E848" w:rsidR="00665030" w:rsidRDefault="00665030" w:rsidP="007976FF">
      <w:pPr>
        <w:rPr>
          <w:rFonts w:cs="Arial"/>
          <w:lang w:val="it-IT"/>
        </w:rPr>
      </w:pPr>
    </w:p>
    <w:p w14:paraId="6B56D956" w14:textId="73C71B51" w:rsidR="00665030" w:rsidRDefault="00665030" w:rsidP="007976FF">
      <w:pPr>
        <w:rPr>
          <w:rFonts w:cs="Arial"/>
          <w:lang w:val="it-IT"/>
        </w:rPr>
      </w:pPr>
    </w:p>
    <w:p w14:paraId="386FEAC3" w14:textId="77777777" w:rsidR="00665030" w:rsidRDefault="00665030" w:rsidP="007976FF">
      <w:pPr>
        <w:rPr>
          <w:rFonts w:cs="Arial"/>
          <w:lang w:val="it-IT"/>
        </w:rPr>
      </w:pPr>
    </w:p>
    <w:p w14:paraId="4377F04E" w14:textId="7D47C0F8" w:rsidR="00EF4BEC" w:rsidRPr="008B6ADF" w:rsidRDefault="009E2ACD" w:rsidP="00B42A8A">
      <w:pPr>
        <w:rPr>
          <w:rFonts w:cs="Arial"/>
          <w:b/>
          <w:lang w:val="it-IT"/>
        </w:rPr>
      </w:pPr>
      <w:r w:rsidRPr="008B6ADF">
        <w:rPr>
          <w:rFonts w:cs="Arial"/>
          <w:b/>
          <w:lang w:val="it-IT"/>
        </w:rPr>
        <w:lastRenderedPageBreak/>
        <w:t>Lista delle abbreviazioni</w:t>
      </w:r>
    </w:p>
    <w:tbl>
      <w:tblPr>
        <w:tblW w:w="9817" w:type="dxa"/>
        <w:tblLook w:val="04A0" w:firstRow="1" w:lastRow="0" w:firstColumn="1" w:lastColumn="0" w:noHBand="0" w:noVBand="1"/>
      </w:tblPr>
      <w:tblGrid>
        <w:gridCol w:w="1930"/>
        <w:gridCol w:w="7887"/>
      </w:tblGrid>
      <w:tr w:rsidR="00EF4BEC" w14:paraId="092F9D0F" w14:textId="77777777">
        <w:trPr>
          <w:trHeight w:val="300"/>
        </w:trPr>
        <w:tc>
          <w:tcPr>
            <w:tcW w:w="1930" w:type="dxa"/>
            <w:noWrap/>
          </w:tcPr>
          <w:p w14:paraId="6B4AC69C" w14:textId="77777777" w:rsidR="00EF4BEC" w:rsidRDefault="009E2ACD">
            <w:pPr>
              <w:rPr>
                <w:rFonts w:cs="Arial"/>
              </w:rPr>
            </w:pPr>
            <w:r>
              <w:rPr>
                <w:rFonts w:cs="Arial"/>
              </w:rPr>
              <w:t>AC</w:t>
            </w:r>
          </w:p>
        </w:tc>
        <w:tc>
          <w:tcPr>
            <w:tcW w:w="7887" w:type="dxa"/>
            <w:noWrap/>
          </w:tcPr>
          <w:p w14:paraId="2EB24C8E" w14:textId="77777777" w:rsidR="00EF4BEC" w:rsidRDefault="009E2ACD">
            <w:pPr>
              <w:rPr>
                <w:rFonts w:cs="Arial"/>
                <w:lang w:val="it-IT"/>
              </w:rPr>
            </w:pPr>
            <w:r>
              <w:rPr>
                <w:rFonts w:cs="Arial"/>
                <w:lang w:val="it-IT"/>
              </w:rPr>
              <w:t>Anticorpo</w:t>
            </w:r>
          </w:p>
        </w:tc>
      </w:tr>
      <w:tr w:rsidR="00EF4BEC" w14:paraId="286C8D99" w14:textId="77777777">
        <w:trPr>
          <w:trHeight w:val="300"/>
        </w:trPr>
        <w:tc>
          <w:tcPr>
            <w:tcW w:w="1930" w:type="dxa"/>
            <w:noWrap/>
          </w:tcPr>
          <w:p w14:paraId="31A1EFC8" w14:textId="77777777" w:rsidR="00EF4BEC" w:rsidRDefault="009E2ACD">
            <w:pPr>
              <w:rPr>
                <w:rFonts w:cs="Arial"/>
              </w:rPr>
            </w:pPr>
            <w:r>
              <w:rPr>
                <w:rFonts w:cs="Arial"/>
              </w:rPr>
              <w:t>Ag</w:t>
            </w:r>
          </w:p>
        </w:tc>
        <w:tc>
          <w:tcPr>
            <w:tcW w:w="7887" w:type="dxa"/>
            <w:noWrap/>
          </w:tcPr>
          <w:p w14:paraId="2C789157" w14:textId="77777777" w:rsidR="00EF4BEC" w:rsidRDefault="009E2ACD">
            <w:pPr>
              <w:rPr>
                <w:rFonts w:cs="Arial"/>
              </w:rPr>
            </w:pPr>
            <w:r>
              <w:rPr>
                <w:rFonts w:cs="Arial"/>
              </w:rPr>
              <w:t>Antigene</w:t>
            </w:r>
          </w:p>
        </w:tc>
      </w:tr>
      <w:tr w:rsidR="00EF4BEC" w14:paraId="59C7361F" w14:textId="77777777">
        <w:trPr>
          <w:trHeight w:val="300"/>
        </w:trPr>
        <w:tc>
          <w:tcPr>
            <w:tcW w:w="1930" w:type="dxa"/>
            <w:noWrap/>
          </w:tcPr>
          <w:p w14:paraId="6780FC00" w14:textId="77777777" w:rsidR="00EF4BEC" w:rsidRDefault="009E2ACD">
            <w:pPr>
              <w:rPr>
                <w:rFonts w:cs="Arial"/>
              </w:rPr>
            </w:pPr>
            <w:r>
              <w:rPr>
                <w:rFonts w:cs="Arial"/>
              </w:rPr>
              <w:t>AIHA</w:t>
            </w:r>
          </w:p>
        </w:tc>
        <w:tc>
          <w:tcPr>
            <w:tcW w:w="7887" w:type="dxa"/>
            <w:noWrap/>
          </w:tcPr>
          <w:p w14:paraId="5A506889" w14:textId="77777777" w:rsidR="00EF4BEC" w:rsidRDefault="009E2ACD">
            <w:pPr>
              <w:rPr>
                <w:rFonts w:cs="Arial"/>
              </w:rPr>
            </w:pPr>
            <w:r>
              <w:rPr>
                <w:rFonts w:cs="Arial"/>
              </w:rPr>
              <w:t>Anemia emolitica autoimmune</w:t>
            </w:r>
          </w:p>
        </w:tc>
      </w:tr>
      <w:tr w:rsidR="00EF4BEC" w:rsidRPr="00867F18" w14:paraId="71EF3D82" w14:textId="77777777">
        <w:trPr>
          <w:trHeight w:val="300"/>
        </w:trPr>
        <w:tc>
          <w:tcPr>
            <w:tcW w:w="1930" w:type="dxa"/>
            <w:noWrap/>
          </w:tcPr>
          <w:p w14:paraId="4A7421BF" w14:textId="77777777" w:rsidR="00EF4BEC" w:rsidRDefault="009E2ACD">
            <w:pPr>
              <w:rPr>
                <w:rFonts w:cs="Arial"/>
              </w:rPr>
            </w:pPr>
            <w:r>
              <w:rPr>
                <w:rFonts w:cs="Arial"/>
              </w:rPr>
              <w:t>ASMT</w:t>
            </w:r>
          </w:p>
        </w:tc>
        <w:tc>
          <w:tcPr>
            <w:tcW w:w="7887" w:type="dxa"/>
            <w:noWrap/>
          </w:tcPr>
          <w:p w14:paraId="643F7819" w14:textId="77777777" w:rsidR="00EF4BEC" w:rsidRDefault="009E2ACD">
            <w:pPr>
              <w:rPr>
                <w:rFonts w:cs="Arial"/>
                <w:lang w:val="it-IT"/>
              </w:rPr>
            </w:pPr>
            <w:r>
              <w:rPr>
                <w:rFonts w:cs="Arial"/>
                <w:lang w:val="it-IT"/>
              </w:rPr>
              <w:t>Associazione Svizzera di Medicina Trasfusionale</w:t>
            </w:r>
          </w:p>
        </w:tc>
      </w:tr>
      <w:tr w:rsidR="00EF4BEC" w14:paraId="7AAFF204" w14:textId="77777777">
        <w:trPr>
          <w:trHeight w:val="300"/>
        </w:trPr>
        <w:tc>
          <w:tcPr>
            <w:tcW w:w="1930" w:type="dxa"/>
            <w:noWrap/>
          </w:tcPr>
          <w:p w14:paraId="021789AF" w14:textId="77777777" w:rsidR="00EF4BEC" w:rsidRDefault="009E2ACD">
            <w:pPr>
              <w:rPr>
                <w:rFonts w:cs="Arial"/>
              </w:rPr>
            </w:pPr>
            <w:r>
              <w:rPr>
                <w:rFonts w:cs="Arial"/>
              </w:rPr>
              <w:t>CE</w:t>
            </w:r>
          </w:p>
        </w:tc>
        <w:tc>
          <w:tcPr>
            <w:tcW w:w="7887" w:type="dxa"/>
            <w:noWrap/>
          </w:tcPr>
          <w:p w14:paraId="5C09AFF3" w14:textId="77777777" w:rsidR="00EF4BEC" w:rsidRDefault="009E2ACD">
            <w:pPr>
              <w:rPr>
                <w:rFonts w:cs="Arial"/>
              </w:rPr>
            </w:pPr>
            <w:r>
              <w:rPr>
                <w:rFonts w:cs="Arial"/>
              </w:rPr>
              <w:t>Concentrato eritrocitario</w:t>
            </w:r>
          </w:p>
        </w:tc>
      </w:tr>
      <w:tr w:rsidR="00EF4BEC" w:rsidRPr="00867F18" w14:paraId="2FDB546A" w14:textId="77777777">
        <w:trPr>
          <w:trHeight w:val="300"/>
        </w:trPr>
        <w:tc>
          <w:tcPr>
            <w:tcW w:w="1930" w:type="dxa"/>
            <w:noWrap/>
          </w:tcPr>
          <w:p w14:paraId="4AE47425" w14:textId="77777777" w:rsidR="00EF4BEC" w:rsidRDefault="009E2ACD">
            <w:pPr>
              <w:rPr>
                <w:rFonts w:cs="Arial"/>
              </w:rPr>
            </w:pPr>
            <w:r>
              <w:rPr>
                <w:rFonts w:cs="Arial"/>
              </w:rPr>
              <w:t>CFLAM</w:t>
            </w:r>
          </w:p>
        </w:tc>
        <w:tc>
          <w:tcPr>
            <w:tcW w:w="7887" w:type="dxa"/>
            <w:noWrap/>
          </w:tcPr>
          <w:p w14:paraId="39489079" w14:textId="77777777" w:rsidR="00EF4BEC" w:rsidRDefault="009E2ACD">
            <w:pPr>
              <w:rPr>
                <w:rFonts w:cs="Arial"/>
                <w:lang w:val="it-IT"/>
              </w:rPr>
            </w:pPr>
            <w:r>
              <w:rPr>
                <w:rFonts w:cs="Arial"/>
                <w:lang w:val="it-IT"/>
              </w:rPr>
              <w:t>Criteri di funzionamento dei laboratori di analisi mediche</w:t>
            </w:r>
          </w:p>
        </w:tc>
      </w:tr>
      <w:tr w:rsidR="00EF4BEC" w14:paraId="1D191DE8" w14:textId="77777777">
        <w:trPr>
          <w:trHeight w:val="300"/>
        </w:trPr>
        <w:tc>
          <w:tcPr>
            <w:tcW w:w="1930" w:type="dxa"/>
            <w:noWrap/>
          </w:tcPr>
          <w:p w14:paraId="0C4233EA" w14:textId="77777777" w:rsidR="00EF4BEC" w:rsidRDefault="009E2ACD">
            <w:pPr>
              <w:rPr>
                <w:rFonts w:cs="Arial"/>
              </w:rPr>
            </w:pPr>
            <w:r>
              <w:rPr>
                <w:rFonts w:cs="Arial"/>
              </w:rPr>
              <w:t>CQE</w:t>
            </w:r>
          </w:p>
        </w:tc>
        <w:tc>
          <w:tcPr>
            <w:tcW w:w="7887" w:type="dxa"/>
            <w:noWrap/>
          </w:tcPr>
          <w:p w14:paraId="62CE3D78" w14:textId="77777777" w:rsidR="00EF4BEC" w:rsidRDefault="009E2ACD">
            <w:pPr>
              <w:rPr>
                <w:rFonts w:cs="Arial"/>
              </w:rPr>
            </w:pPr>
            <w:r>
              <w:rPr>
                <w:rFonts w:cs="Arial"/>
              </w:rPr>
              <w:t>Controllo di qualità esterno</w:t>
            </w:r>
          </w:p>
        </w:tc>
      </w:tr>
      <w:tr w:rsidR="00EF4BEC" w14:paraId="412180EE" w14:textId="77777777">
        <w:trPr>
          <w:trHeight w:val="300"/>
        </w:trPr>
        <w:tc>
          <w:tcPr>
            <w:tcW w:w="1930" w:type="dxa"/>
            <w:noWrap/>
          </w:tcPr>
          <w:p w14:paraId="679D03AD" w14:textId="77777777" w:rsidR="00EF4BEC" w:rsidRDefault="009E2ACD">
            <w:pPr>
              <w:rPr>
                <w:rFonts w:cs="Arial"/>
              </w:rPr>
            </w:pPr>
            <w:r>
              <w:rPr>
                <w:rFonts w:cs="Arial"/>
              </w:rPr>
              <w:t>CQI</w:t>
            </w:r>
          </w:p>
        </w:tc>
        <w:tc>
          <w:tcPr>
            <w:tcW w:w="7887" w:type="dxa"/>
            <w:noWrap/>
          </w:tcPr>
          <w:p w14:paraId="0DA2FF1C" w14:textId="77777777" w:rsidR="00EF4BEC" w:rsidRDefault="009E2ACD">
            <w:pPr>
              <w:rPr>
                <w:rFonts w:cs="Arial"/>
              </w:rPr>
            </w:pPr>
            <w:r>
              <w:rPr>
                <w:rFonts w:cs="Arial"/>
              </w:rPr>
              <w:t>Controllo di qualità interno</w:t>
            </w:r>
          </w:p>
        </w:tc>
      </w:tr>
      <w:tr w:rsidR="00EF4BEC" w14:paraId="63B451F5" w14:textId="77777777">
        <w:trPr>
          <w:trHeight w:val="300"/>
        </w:trPr>
        <w:tc>
          <w:tcPr>
            <w:tcW w:w="1930" w:type="dxa"/>
            <w:noWrap/>
          </w:tcPr>
          <w:p w14:paraId="3D5C074C" w14:textId="77777777" w:rsidR="00EF4BEC" w:rsidRDefault="009E2ACD">
            <w:pPr>
              <w:rPr>
                <w:rFonts w:cs="Arial"/>
              </w:rPr>
            </w:pPr>
            <w:r>
              <w:rPr>
                <w:rFonts w:cs="Arial"/>
              </w:rPr>
              <w:t>CT</w:t>
            </w:r>
          </w:p>
        </w:tc>
        <w:tc>
          <w:tcPr>
            <w:tcW w:w="7887" w:type="dxa"/>
            <w:noWrap/>
          </w:tcPr>
          <w:p w14:paraId="0E90CA7A" w14:textId="77777777" w:rsidR="00EF4BEC" w:rsidRDefault="009E2ACD">
            <w:pPr>
              <w:rPr>
                <w:rFonts w:cs="Arial"/>
              </w:rPr>
            </w:pPr>
            <w:r>
              <w:rPr>
                <w:rFonts w:cs="Arial"/>
              </w:rPr>
              <w:t>Concentrato trombocitario</w:t>
            </w:r>
          </w:p>
        </w:tc>
      </w:tr>
      <w:tr w:rsidR="00EF4BEC" w:rsidRPr="00654E10" w14:paraId="48D358C3" w14:textId="77777777">
        <w:trPr>
          <w:trHeight w:val="300"/>
        </w:trPr>
        <w:tc>
          <w:tcPr>
            <w:tcW w:w="1930" w:type="dxa"/>
            <w:noWrap/>
          </w:tcPr>
          <w:p w14:paraId="17B90138" w14:textId="77777777" w:rsidR="00EF4BEC" w:rsidRDefault="009E2ACD">
            <w:pPr>
              <w:rPr>
                <w:rFonts w:cs="Arial"/>
              </w:rPr>
            </w:pPr>
            <w:r>
              <w:rPr>
                <w:rFonts w:cs="Arial"/>
              </w:rPr>
              <w:t>DAT</w:t>
            </w:r>
          </w:p>
        </w:tc>
        <w:tc>
          <w:tcPr>
            <w:tcW w:w="7887" w:type="dxa"/>
            <w:noWrap/>
          </w:tcPr>
          <w:p w14:paraId="2F707352" w14:textId="77777777" w:rsidR="00EF4BEC" w:rsidRDefault="009E2ACD">
            <w:pPr>
              <w:rPr>
                <w:rFonts w:cs="Arial"/>
                <w:lang w:val="it-IT"/>
              </w:rPr>
            </w:pPr>
            <w:r>
              <w:rPr>
                <w:rFonts w:cs="Arial"/>
                <w:lang w:val="it-IT"/>
              </w:rPr>
              <w:t>Test dell’antiglobulina umana diretto (prima: test di Coombs diretto)</w:t>
            </w:r>
          </w:p>
        </w:tc>
      </w:tr>
      <w:tr w:rsidR="00EF4BEC" w14:paraId="0E437837" w14:textId="77777777">
        <w:trPr>
          <w:trHeight w:val="300"/>
        </w:trPr>
        <w:tc>
          <w:tcPr>
            <w:tcW w:w="1930" w:type="dxa"/>
            <w:noWrap/>
          </w:tcPr>
          <w:p w14:paraId="6F01195D" w14:textId="77777777" w:rsidR="00EF4BEC" w:rsidRDefault="009E2ACD">
            <w:pPr>
              <w:rPr>
                <w:rFonts w:cs="Arial"/>
              </w:rPr>
            </w:pPr>
            <w:r>
              <w:rPr>
                <w:rFonts w:cs="Arial"/>
              </w:rPr>
              <w:t>DVI</w:t>
            </w:r>
          </w:p>
        </w:tc>
        <w:tc>
          <w:tcPr>
            <w:tcW w:w="7887" w:type="dxa"/>
            <w:noWrap/>
          </w:tcPr>
          <w:p w14:paraId="1836ED8A" w14:textId="77777777" w:rsidR="00EF4BEC" w:rsidRDefault="009E2ACD">
            <w:pPr>
              <w:rPr>
                <w:rFonts w:cs="Arial"/>
              </w:rPr>
            </w:pPr>
            <w:r>
              <w:rPr>
                <w:rFonts w:cs="Arial"/>
              </w:rPr>
              <w:t>D-variante VI</w:t>
            </w:r>
          </w:p>
        </w:tc>
      </w:tr>
      <w:tr w:rsidR="00EF4BEC" w:rsidRPr="00654E10" w14:paraId="4A527A28" w14:textId="77777777">
        <w:trPr>
          <w:trHeight w:val="300"/>
        </w:trPr>
        <w:tc>
          <w:tcPr>
            <w:tcW w:w="1930" w:type="dxa"/>
            <w:noWrap/>
          </w:tcPr>
          <w:p w14:paraId="4D67887B" w14:textId="77777777" w:rsidR="00EF4BEC" w:rsidRDefault="009E2ACD">
            <w:pPr>
              <w:rPr>
                <w:rFonts w:cs="Arial"/>
              </w:rPr>
            </w:pPr>
            <w:r>
              <w:rPr>
                <w:rFonts w:cs="Arial"/>
              </w:rPr>
              <w:t>EDTA</w:t>
            </w:r>
          </w:p>
        </w:tc>
        <w:tc>
          <w:tcPr>
            <w:tcW w:w="7887" w:type="dxa"/>
            <w:noWrap/>
          </w:tcPr>
          <w:p w14:paraId="17EBC0DC" w14:textId="77777777" w:rsidR="00EF4BEC" w:rsidRDefault="009E2ACD">
            <w:pPr>
              <w:rPr>
                <w:rFonts w:cs="Arial"/>
                <w:lang w:val="it-IT"/>
              </w:rPr>
            </w:pPr>
            <w:r>
              <w:rPr>
                <w:rFonts w:cs="Arial"/>
                <w:lang w:val="it-IT"/>
              </w:rPr>
              <w:t>Sangue anticoagulato con acido etilendiamminotetraacetico</w:t>
            </w:r>
          </w:p>
        </w:tc>
      </w:tr>
      <w:tr w:rsidR="00EF4BEC" w14:paraId="047CBC8B" w14:textId="77777777">
        <w:trPr>
          <w:trHeight w:val="300"/>
        </w:trPr>
        <w:tc>
          <w:tcPr>
            <w:tcW w:w="1930" w:type="dxa"/>
            <w:noWrap/>
          </w:tcPr>
          <w:p w14:paraId="59254040" w14:textId="77777777" w:rsidR="00EF4BEC" w:rsidRDefault="009E2ACD">
            <w:pPr>
              <w:rPr>
                <w:rFonts w:cs="Arial"/>
              </w:rPr>
            </w:pPr>
            <w:r>
              <w:rPr>
                <w:rFonts w:cs="Arial"/>
              </w:rPr>
              <w:t>EFI</w:t>
            </w:r>
          </w:p>
        </w:tc>
        <w:tc>
          <w:tcPr>
            <w:tcW w:w="7887" w:type="dxa"/>
            <w:noWrap/>
          </w:tcPr>
          <w:p w14:paraId="051EAA6D" w14:textId="77777777" w:rsidR="00EF4BEC" w:rsidRDefault="009E2ACD">
            <w:pPr>
              <w:rPr>
                <w:rFonts w:cs="Arial"/>
              </w:rPr>
            </w:pPr>
            <w:r>
              <w:rPr>
                <w:rFonts w:cs="Arial"/>
              </w:rPr>
              <w:t>European Federation for Immunogenetics</w:t>
            </w:r>
          </w:p>
        </w:tc>
      </w:tr>
      <w:tr w:rsidR="00EF4BEC" w14:paraId="301843A3" w14:textId="77777777">
        <w:trPr>
          <w:trHeight w:val="300"/>
        </w:trPr>
        <w:tc>
          <w:tcPr>
            <w:tcW w:w="1930" w:type="dxa"/>
            <w:noWrap/>
          </w:tcPr>
          <w:p w14:paraId="4059C2AA" w14:textId="77777777" w:rsidR="00EF4BEC" w:rsidRDefault="009E2ACD">
            <w:pPr>
              <w:rPr>
                <w:rFonts w:cs="Arial"/>
              </w:rPr>
            </w:pPr>
            <w:r>
              <w:rPr>
                <w:rFonts w:cs="Arial"/>
              </w:rPr>
              <w:t>Fenotipo RH/KEL1</w:t>
            </w:r>
          </w:p>
        </w:tc>
        <w:tc>
          <w:tcPr>
            <w:tcW w:w="7887" w:type="dxa"/>
            <w:noWrap/>
          </w:tcPr>
          <w:p w14:paraId="4E8DC701" w14:textId="77777777" w:rsidR="00EF4BEC" w:rsidRDefault="009E2ACD">
            <w:pPr>
              <w:rPr>
                <w:rFonts w:cs="Arial"/>
              </w:rPr>
            </w:pPr>
            <w:r>
              <w:rPr>
                <w:rFonts w:cs="Arial"/>
              </w:rPr>
              <w:t>RH2 (C), RH3 (E), RH4 (c), RH5 (e) e KEL1 (K)</w:t>
            </w:r>
          </w:p>
        </w:tc>
      </w:tr>
      <w:tr w:rsidR="00EF4BEC" w:rsidRPr="00654E10" w14:paraId="6027AF22" w14:textId="77777777">
        <w:trPr>
          <w:trHeight w:val="300"/>
        </w:trPr>
        <w:tc>
          <w:tcPr>
            <w:tcW w:w="1930" w:type="dxa"/>
            <w:noWrap/>
          </w:tcPr>
          <w:p w14:paraId="2DE788A0" w14:textId="77777777" w:rsidR="00EF4BEC" w:rsidRDefault="009E2ACD">
            <w:pPr>
              <w:rPr>
                <w:rFonts w:cs="Arial"/>
              </w:rPr>
            </w:pPr>
            <w:r>
              <w:rPr>
                <w:rFonts w:cs="Arial"/>
              </w:rPr>
              <w:t>IAT</w:t>
            </w:r>
          </w:p>
        </w:tc>
        <w:tc>
          <w:tcPr>
            <w:tcW w:w="7887" w:type="dxa"/>
            <w:noWrap/>
          </w:tcPr>
          <w:p w14:paraId="267135BF" w14:textId="77777777" w:rsidR="00EF4BEC" w:rsidRDefault="009E2ACD">
            <w:pPr>
              <w:rPr>
                <w:rFonts w:cs="Arial"/>
                <w:lang w:val="it-IT"/>
              </w:rPr>
            </w:pPr>
            <w:r>
              <w:rPr>
                <w:rFonts w:cs="Arial"/>
                <w:lang w:val="it-IT"/>
              </w:rPr>
              <w:t>Test dell’antiglobulina umana indiretto (prima: test di Coombs indiretto)</w:t>
            </w:r>
          </w:p>
        </w:tc>
      </w:tr>
      <w:tr w:rsidR="00EF4BEC" w:rsidRPr="00654E10" w14:paraId="0E20D0CD" w14:textId="77777777">
        <w:trPr>
          <w:trHeight w:val="300"/>
        </w:trPr>
        <w:tc>
          <w:tcPr>
            <w:tcW w:w="1930" w:type="dxa"/>
            <w:noWrap/>
          </w:tcPr>
          <w:p w14:paraId="6D76A7E1" w14:textId="77777777" w:rsidR="00EF4BEC" w:rsidRDefault="009E2ACD">
            <w:pPr>
              <w:rPr>
                <w:rFonts w:cs="Arial"/>
              </w:rPr>
            </w:pPr>
            <w:r>
              <w:rPr>
                <w:rFonts w:cs="Arial"/>
              </w:rPr>
              <w:t>IgG, IgA, IgM</w:t>
            </w:r>
          </w:p>
        </w:tc>
        <w:tc>
          <w:tcPr>
            <w:tcW w:w="7887" w:type="dxa"/>
            <w:noWrap/>
          </w:tcPr>
          <w:p w14:paraId="7C135E97" w14:textId="77777777" w:rsidR="00EF4BEC" w:rsidRDefault="009E2ACD">
            <w:pPr>
              <w:rPr>
                <w:rFonts w:cs="Arial"/>
                <w:lang w:val="it-IT"/>
              </w:rPr>
            </w:pPr>
            <w:r>
              <w:rPr>
                <w:rFonts w:cs="Arial"/>
                <w:lang w:val="it-IT"/>
              </w:rPr>
              <w:t>Immunoglobulina di classe G, A ed M</w:t>
            </w:r>
          </w:p>
        </w:tc>
      </w:tr>
      <w:tr w:rsidR="00EF4BEC" w14:paraId="18B8FB25" w14:textId="77777777">
        <w:trPr>
          <w:trHeight w:val="300"/>
        </w:trPr>
        <w:tc>
          <w:tcPr>
            <w:tcW w:w="1930" w:type="dxa"/>
            <w:noWrap/>
          </w:tcPr>
          <w:p w14:paraId="1BF70B63" w14:textId="77777777" w:rsidR="00EF4BEC" w:rsidRDefault="009E2ACD">
            <w:pPr>
              <w:rPr>
                <w:rFonts w:cs="Arial"/>
              </w:rPr>
            </w:pPr>
            <w:r>
              <w:rPr>
                <w:rFonts w:cs="Arial"/>
                <w:lang w:val="it-IT"/>
              </w:rPr>
              <w:t>IGVE</w:t>
            </w:r>
          </w:p>
        </w:tc>
        <w:tc>
          <w:tcPr>
            <w:tcW w:w="7887" w:type="dxa"/>
            <w:noWrap/>
          </w:tcPr>
          <w:p w14:paraId="6F7C904E" w14:textId="77777777" w:rsidR="00EF4BEC" w:rsidRDefault="009E2ACD">
            <w:pPr>
              <w:rPr>
                <w:rFonts w:cs="Arial"/>
                <w:lang w:val="it-IT"/>
              </w:rPr>
            </w:pPr>
            <w:r>
              <w:rPr>
                <w:rFonts w:cs="Arial"/>
                <w:lang w:val="it-IT"/>
              </w:rPr>
              <w:t>Immunoglobuline per via endovenosa</w:t>
            </w:r>
          </w:p>
        </w:tc>
      </w:tr>
      <w:tr w:rsidR="00EF4BEC" w:rsidRPr="00867F18" w14:paraId="44C3E996" w14:textId="77777777">
        <w:trPr>
          <w:trHeight w:val="300"/>
        </w:trPr>
        <w:tc>
          <w:tcPr>
            <w:tcW w:w="1930" w:type="dxa"/>
            <w:noWrap/>
          </w:tcPr>
          <w:p w14:paraId="0B878932" w14:textId="77777777" w:rsidR="00EF4BEC" w:rsidRDefault="009E2ACD">
            <w:pPr>
              <w:rPr>
                <w:rFonts w:cs="Arial"/>
              </w:rPr>
            </w:pPr>
            <w:r>
              <w:rPr>
                <w:rFonts w:cs="Arial"/>
              </w:rPr>
              <w:t>KBMAL</w:t>
            </w:r>
          </w:p>
        </w:tc>
        <w:tc>
          <w:tcPr>
            <w:tcW w:w="7887" w:type="dxa"/>
            <w:noWrap/>
          </w:tcPr>
          <w:p w14:paraId="69A6F2F7" w14:textId="77777777" w:rsidR="00EF4BEC" w:rsidRDefault="009E2ACD">
            <w:pPr>
              <w:rPr>
                <w:rFonts w:cs="Arial"/>
                <w:lang w:val="it-IT"/>
              </w:rPr>
            </w:pPr>
            <w:r>
              <w:rPr>
                <w:rFonts w:cs="Arial"/>
                <w:lang w:val="it-IT"/>
              </w:rPr>
              <w:t>Kriterien zum Betreiben von medizinisch-analytischen Laboratorien (Criteri di funzionamento dei laboratori di analisi mediche [CFLAM])</w:t>
            </w:r>
          </w:p>
        </w:tc>
      </w:tr>
      <w:tr w:rsidR="00EF4BEC" w14:paraId="50966D82" w14:textId="77777777">
        <w:trPr>
          <w:trHeight w:val="300"/>
        </w:trPr>
        <w:tc>
          <w:tcPr>
            <w:tcW w:w="1930" w:type="dxa"/>
            <w:noWrap/>
          </w:tcPr>
          <w:p w14:paraId="2AE50300" w14:textId="77777777" w:rsidR="00EF4BEC" w:rsidRDefault="009E2ACD">
            <w:pPr>
              <w:rPr>
                <w:rFonts w:cs="Arial"/>
              </w:rPr>
            </w:pPr>
            <w:r>
              <w:rPr>
                <w:rFonts w:cs="Arial"/>
              </w:rPr>
              <w:t>LATer</w:t>
            </w:r>
          </w:p>
        </w:tc>
        <w:tc>
          <w:tcPr>
            <w:tcW w:w="7887" w:type="dxa"/>
            <w:noWrap/>
          </w:tcPr>
          <w:p w14:paraId="2EB0D2DE" w14:textId="77777777" w:rsidR="00EF4BEC" w:rsidRDefault="009E2ACD">
            <w:pPr>
              <w:rPr>
                <w:rFonts w:cs="Arial"/>
              </w:rPr>
            </w:pPr>
            <w:r>
              <w:rPr>
                <w:rFonts w:cs="Arial"/>
              </w:rPr>
              <w:t>Legge sugli agenti terapeutici</w:t>
            </w:r>
          </w:p>
        </w:tc>
      </w:tr>
      <w:tr w:rsidR="00EF4BEC" w:rsidRPr="00654E10" w14:paraId="42BEEBA1" w14:textId="77777777">
        <w:trPr>
          <w:trHeight w:val="300"/>
        </w:trPr>
        <w:tc>
          <w:tcPr>
            <w:tcW w:w="1930" w:type="dxa"/>
            <w:noWrap/>
          </w:tcPr>
          <w:p w14:paraId="35F3EC6B" w14:textId="77777777" w:rsidR="00EF4BEC" w:rsidRDefault="009E2ACD">
            <w:pPr>
              <w:rPr>
                <w:rFonts w:cs="Arial"/>
              </w:rPr>
            </w:pPr>
            <w:r>
              <w:rPr>
                <w:rFonts w:cs="Arial"/>
              </w:rPr>
              <w:t xml:space="preserve">LISS </w:t>
            </w:r>
          </w:p>
        </w:tc>
        <w:tc>
          <w:tcPr>
            <w:tcW w:w="7887" w:type="dxa"/>
            <w:noWrap/>
          </w:tcPr>
          <w:p w14:paraId="69C196B1" w14:textId="77777777" w:rsidR="00EF4BEC" w:rsidRDefault="009E2ACD">
            <w:pPr>
              <w:rPr>
                <w:rFonts w:cs="Arial"/>
                <w:lang w:val="it-IT"/>
              </w:rPr>
            </w:pPr>
            <w:r>
              <w:rPr>
                <w:rFonts w:cs="Arial"/>
                <w:lang w:val="it-IT"/>
              </w:rPr>
              <w:t>Low ionic strength solution, soluzione fisiologica NaCl a bassa forza ionica</w:t>
            </w:r>
          </w:p>
        </w:tc>
      </w:tr>
      <w:tr w:rsidR="00EF4BEC" w14:paraId="5AC816CD" w14:textId="77777777">
        <w:trPr>
          <w:trHeight w:val="300"/>
        </w:trPr>
        <w:tc>
          <w:tcPr>
            <w:tcW w:w="1930" w:type="dxa"/>
            <w:noWrap/>
          </w:tcPr>
          <w:p w14:paraId="31624579" w14:textId="77777777" w:rsidR="00EF4BEC" w:rsidRDefault="009E2ACD">
            <w:pPr>
              <w:rPr>
                <w:rFonts w:cs="Arial"/>
              </w:rPr>
            </w:pPr>
            <w:r>
              <w:rPr>
                <w:rFonts w:cs="Arial"/>
              </w:rPr>
              <w:t>MDAT</w:t>
            </w:r>
          </w:p>
        </w:tc>
        <w:tc>
          <w:tcPr>
            <w:tcW w:w="7887" w:type="dxa"/>
            <w:noWrap/>
          </w:tcPr>
          <w:p w14:paraId="220FFF76" w14:textId="77777777" w:rsidR="00EF4BEC" w:rsidRDefault="009E2ACD">
            <w:pPr>
              <w:rPr>
                <w:rFonts w:cs="Arial"/>
              </w:rPr>
            </w:pPr>
            <w:r>
              <w:rPr>
                <w:rFonts w:cs="Arial"/>
              </w:rPr>
              <w:t>DAT monospecifico</w:t>
            </w:r>
          </w:p>
        </w:tc>
      </w:tr>
      <w:tr w:rsidR="00EF4BEC" w14:paraId="683F1590" w14:textId="77777777">
        <w:trPr>
          <w:trHeight w:val="300"/>
        </w:trPr>
        <w:tc>
          <w:tcPr>
            <w:tcW w:w="1930" w:type="dxa"/>
            <w:noWrap/>
          </w:tcPr>
          <w:p w14:paraId="491F9482" w14:textId="77777777" w:rsidR="00EF4BEC" w:rsidRDefault="009E2ACD">
            <w:pPr>
              <w:rPr>
                <w:rFonts w:cs="Arial"/>
              </w:rPr>
            </w:pPr>
            <w:r>
              <w:rPr>
                <w:rFonts w:cs="Arial"/>
              </w:rPr>
              <w:t>MEN</w:t>
            </w:r>
          </w:p>
        </w:tc>
        <w:tc>
          <w:tcPr>
            <w:tcW w:w="7887" w:type="dxa"/>
            <w:noWrap/>
          </w:tcPr>
          <w:p w14:paraId="5B91177E" w14:textId="77777777" w:rsidR="00EF4BEC" w:rsidRDefault="009E2ACD">
            <w:pPr>
              <w:rPr>
                <w:rFonts w:cs="Arial"/>
              </w:rPr>
            </w:pPr>
            <w:r>
              <w:rPr>
                <w:rFonts w:cs="Arial"/>
              </w:rPr>
              <w:t>Morbo emolitico neonatale</w:t>
            </w:r>
          </w:p>
        </w:tc>
      </w:tr>
      <w:tr w:rsidR="00EF4BEC" w14:paraId="7A4DF1D3" w14:textId="77777777">
        <w:trPr>
          <w:trHeight w:val="300"/>
        </w:trPr>
        <w:tc>
          <w:tcPr>
            <w:tcW w:w="1930" w:type="dxa"/>
            <w:noWrap/>
          </w:tcPr>
          <w:p w14:paraId="572B1884" w14:textId="77777777" w:rsidR="00EF4BEC" w:rsidRDefault="009E2ACD">
            <w:pPr>
              <w:rPr>
                <w:rFonts w:cs="Arial"/>
              </w:rPr>
            </w:pPr>
            <w:r>
              <w:rPr>
                <w:rFonts w:cs="Arial"/>
              </w:rPr>
              <w:t>NA</w:t>
            </w:r>
          </w:p>
        </w:tc>
        <w:tc>
          <w:tcPr>
            <w:tcW w:w="7887" w:type="dxa"/>
            <w:noWrap/>
          </w:tcPr>
          <w:p w14:paraId="2B586CAD" w14:textId="77777777" w:rsidR="00EF4BEC" w:rsidRDefault="009E2ACD">
            <w:pPr>
              <w:rPr>
                <w:rFonts w:cs="Arial"/>
              </w:rPr>
            </w:pPr>
            <w:r>
              <w:rPr>
                <w:rFonts w:cs="Arial"/>
              </w:rPr>
              <w:t>Non applicabile</w:t>
            </w:r>
          </w:p>
        </w:tc>
      </w:tr>
      <w:tr w:rsidR="00EF4BEC" w14:paraId="3CCD2B49" w14:textId="77777777">
        <w:trPr>
          <w:trHeight w:val="300"/>
        </w:trPr>
        <w:tc>
          <w:tcPr>
            <w:tcW w:w="1930" w:type="dxa"/>
            <w:noWrap/>
          </w:tcPr>
          <w:p w14:paraId="1B4328B6" w14:textId="77777777" w:rsidR="00EF4BEC" w:rsidRDefault="009E2ACD">
            <w:pPr>
              <w:rPr>
                <w:rFonts w:cs="Arial"/>
              </w:rPr>
            </w:pPr>
            <w:r>
              <w:rPr>
                <w:rFonts w:cs="Arial"/>
              </w:rPr>
              <w:t>NaCl</w:t>
            </w:r>
          </w:p>
        </w:tc>
        <w:tc>
          <w:tcPr>
            <w:tcW w:w="7887" w:type="dxa"/>
            <w:noWrap/>
          </w:tcPr>
          <w:p w14:paraId="7A7D87BC" w14:textId="77777777" w:rsidR="00EF4BEC" w:rsidRDefault="009E2ACD">
            <w:pPr>
              <w:rPr>
                <w:rFonts w:cs="Arial"/>
              </w:rPr>
            </w:pPr>
            <w:r>
              <w:rPr>
                <w:rFonts w:cs="Arial"/>
              </w:rPr>
              <w:t>Cloruro di sodio</w:t>
            </w:r>
          </w:p>
        </w:tc>
      </w:tr>
      <w:tr w:rsidR="00EF4BEC" w:rsidRPr="00867F18" w14:paraId="7E74400C" w14:textId="77777777">
        <w:trPr>
          <w:trHeight w:val="300"/>
        </w:trPr>
        <w:tc>
          <w:tcPr>
            <w:tcW w:w="1930" w:type="dxa"/>
            <w:noWrap/>
          </w:tcPr>
          <w:p w14:paraId="26027041" w14:textId="77777777" w:rsidR="00EF4BEC" w:rsidRDefault="009E2ACD">
            <w:pPr>
              <w:rPr>
                <w:rFonts w:cs="Arial"/>
              </w:rPr>
            </w:pPr>
            <w:r>
              <w:rPr>
                <w:rFonts w:cs="Arial"/>
              </w:rPr>
              <w:t>OAMed</w:t>
            </w:r>
          </w:p>
        </w:tc>
        <w:tc>
          <w:tcPr>
            <w:tcW w:w="7887" w:type="dxa"/>
            <w:noWrap/>
          </w:tcPr>
          <w:p w14:paraId="46993432" w14:textId="77777777" w:rsidR="00EF4BEC" w:rsidRDefault="009E2ACD">
            <w:pPr>
              <w:rPr>
                <w:rFonts w:cs="Arial"/>
                <w:lang w:val="it-IT"/>
              </w:rPr>
            </w:pPr>
            <w:r>
              <w:rPr>
                <w:rFonts w:cs="Arial"/>
                <w:lang w:val="it-IT"/>
              </w:rPr>
              <w:t>Ordinanza sulle autorizzazioni nel settore dei medicamenti</w:t>
            </w:r>
          </w:p>
        </w:tc>
      </w:tr>
      <w:tr w:rsidR="00EF4BEC" w14:paraId="503F1A92" w14:textId="77777777">
        <w:trPr>
          <w:trHeight w:val="300"/>
        </w:trPr>
        <w:tc>
          <w:tcPr>
            <w:tcW w:w="1930" w:type="dxa"/>
            <w:noWrap/>
          </w:tcPr>
          <w:p w14:paraId="4CC9FD0D" w14:textId="77777777" w:rsidR="00EF4BEC" w:rsidRDefault="009E2ACD">
            <w:pPr>
              <w:rPr>
                <w:rFonts w:cs="Arial"/>
              </w:rPr>
            </w:pPr>
            <w:r>
              <w:rPr>
                <w:rFonts w:cs="Arial"/>
              </w:rPr>
              <w:t>OM</w:t>
            </w:r>
          </w:p>
        </w:tc>
        <w:tc>
          <w:tcPr>
            <w:tcW w:w="7887" w:type="dxa"/>
            <w:noWrap/>
          </w:tcPr>
          <w:p w14:paraId="7BFDBCC0" w14:textId="77777777" w:rsidR="00EF4BEC" w:rsidRDefault="009E2ACD">
            <w:pPr>
              <w:rPr>
                <w:rFonts w:cs="Arial"/>
              </w:rPr>
            </w:pPr>
            <w:r>
              <w:rPr>
                <w:rFonts w:cs="Arial"/>
              </w:rPr>
              <w:t>Ordinanza sui medicamenti</w:t>
            </w:r>
          </w:p>
        </w:tc>
      </w:tr>
      <w:tr w:rsidR="00EF4BEC" w:rsidRPr="00867F18" w14:paraId="41601077" w14:textId="77777777">
        <w:trPr>
          <w:trHeight w:val="300"/>
        </w:trPr>
        <w:tc>
          <w:tcPr>
            <w:tcW w:w="1930" w:type="dxa"/>
            <w:noWrap/>
          </w:tcPr>
          <w:p w14:paraId="1FEB2098" w14:textId="77777777" w:rsidR="00EF4BEC" w:rsidRDefault="009E2ACD">
            <w:pPr>
              <w:rPr>
                <w:rFonts w:cs="Arial"/>
              </w:rPr>
            </w:pPr>
            <w:r>
              <w:rPr>
                <w:rFonts w:cs="Arial"/>
              </w:rPr>
              <w:t>Pannello DTT</w:t>
            </w:r>
          </w:p>
        </w:tc>
        <w:tc>
          <w:tcPr>
            <w:tcW w:w="7887" w:type="dxa"/>
            <w:noWrap/>
          </w:tcPr>
          <w:p w14:paraId="1A4E1A9F" w14:textId="77777777" w:rsidR="00EF4BEC" w:rsidRDefault="009E2ACD">
            <w:pPr>
              <w:rPr>
                <w:rFonts w:cs="Arial"/>
                <w:lang w:val="it-IT"/>
              </w:rPr>
            </w:pPr>
            <w:r>
              <w:rPr>
                <w:rFonts w:cs="Arial"/>
                <w:lang w:val="it-IT"/>
              </w:rPr>
              <w:t>Criteri di funzionamento dei laboratori di analisi mediche</w:t>
            </w:r>
          </w:p>
        </w:tc>
      </w:tr>
      <w:tr w:rsidR="00EF4BEC" w:rsidRPr="00654E10" w14:paraId="5F74E0A6" w14:textId="77777777">
        <w:trPr>
          <w:trHeight w:val="300"/>
        </w:trPr>
        <w:tc>
          <w:tcPr>
            <w:tcW w:w="1930" w:type="dxa"/>
            <w:noWrap/>
          </w:tcPr>
          <w:p w14:paraId="1D6482BE" w14:textId="77777777" w:rsidR="00EF4BEC" w:rsidRDefault="009E2ACD">
            <w:pPr>
              <w:rPr>
                <w:rFonts w:cs="Arial"/>
              </w:rPr>
            </w:pPr>
            <w:r>
              <w:rPr>
                <w:rFonts w:cs="Arial"/>
              </w:rPr>
              <w:t>PCR</w:t>
            </w:r>
          </w:p>
        </w:tc>
        <w:tc>
          <w:tcPr>
            <w:tcW w:w="7887" w:type="dxa"/>
            <w:noWrap/>
          </w:tcPr>
          <w:p w14:paraId="33F880E0" w14:textId="77777777" w:rsidR="00EF4BEC" w:rsidRDefault="009E2ACD">
            <w:pPr>
              <w:rPr>
                <w:rFonts w:cs="Arial"/>
                <w:lang w:val="it-IT"/>
              </w:rPr>
            </w:pPr>
            <w:r>
              <w:rPr>
                <w:rFonts w:cs="Arial"/>
                <w:lang w:val="it-IT"/>
              </w:rPr>
              <w:t>Reazione a catena della polimerasi (polymerase chain reaction)</w:t>
            </w:r>
          </w:p>
        </w:tc>
      </w:tr>
      <w:tr w:rsidR="00EF4BEC" w14:paraId="2C859F16" w14:textId="77777777">
        <w:trPr>
          <w:trHeight w:val="300"/>
        </w:trPr>
        <w:tc>
          <w:tcPr>
            <w:tcW w:w="1930" w:type="dxa"/>
            <w:noWrap/>
          </w:tcPr>
          <w:p w14:paraId="21DB20E4" w14:textId="77777777" w:rsidR="00EF4BEC" w:rsidRDefault="009E2ACD">
            <w:pPr>
              <w:rPr>
                <w:rFonts w:cs="Arial"/>
              </w:rPr>
            </w:pPr>
            <w:r>
              <w:rPr>
                <w:rFonts w:cs="Arial"/>
              </w:rPr>
              <w:t>PFC</w:t>
            </w:r>
          </w:p>
        </w:tc>
        <w:tc>
          <w:tcPr>
            <w:tcW w:w="7887" w:type="dxa"/>
            <w:noWrap/>
          </w:tcPr>
          <w:p w14:paraId="6E898379" w14:textId="77777777" w:rsidR="00EF4BEC" w:rsidRDefault="009E2ACD">
            <w:pPr>
              <w:rPr>
                <w:rFonts w:cs="Arial"/>
              </w:rPr>
            </w:pPr>
            <w:r>
              <w:rPr>
                <w:rFonts w:cs="Arial"/>
              </w:rPr>
              <w:t>Plasma fresco congelato</w:t>
            </w:r>
          </w:p>
        </w:tc>
      </w:tr>
      <w:tr w:rsidR="00EF4BEC" w14:paraId="28C644BB" w14:textId="77777777">
        <w:trPr>
          <w:trHeight w:val="300"/>
        </w:trPr>
        <w:tc>
          <w:tcPr>
            <w:tcW w:w="1930" w:type="dxa"/>
            <w:noWrap/>
          </w:tcPr>
          <w:p w14:paraId="1D34D8A6" w14:textId="77777777" w:rsidR="00EF4BEC" w:rsidRDefault="009E2ACD">
            <w:pPr>
              <w:rPr>
                <w:rFonts w:cs="Arial"/>
              </w:rPr>
            </w:pPr>
            <w:r>
              <w:rPr>
                <w:rFonts w:cs="Arial"/>
              </w:rPr>
              <w:t>Profilassi RHIG</w:t>
            </w:r>
          </w:p>
        </w:tc>
        <w:tc>
          <w:tcPr>
            <w:tcW w:w="7887" w:type="dxa"/>
            <w:noWrap/>
          </w:tcPr>
          <w:p w14:paraId="0F6820FD" w14:textId="77777777" w:rsidR="00EF4BEC" w:rsidRDefault="009E2ACD">
            <w:pPr>
              <w:rPr>
                <w:rFonts w:cs="Arial"/>
              </w:rPr>
            </w:pPr>
            <w:r>
              <w:rPr>
                <w:rFonts w:cs="Arial"/>
              </w:rPr>
              <w:t>Profilassi con immunoglobulina RH</w:t>
            </w:r>
          </w:p>
        </w:tc>
      </w:tr>
      <w:tr w:rsidR="00EF4BEC" w:rsidRPr="00654E10" w14:paraId="01D17A69" w14:textId="77777777">
        <w:trPr>
          <w:trHeight w:val="300"/>
        </w:trPr>
        <w:tc>
          <w:tcPr>
            <w:tcW w:w="1930" w:type="dxa"/>
            <w:noWrap/>
          </w:tcPr>
          <w:p w14:paraId="594783F6" w14:textId="77777777" w:rsidR="00EF4BEC" w:rsidRDefault="009E2ACD">
            <w:pPr>
              <w:rPr>
                <w:rFonts w:cs="Arial"/>
              </w:rPr>
            </w:pPr>
            <w:r>
              <w:rPr>
                <w:rFonts w:cs="Arial"/>
              </w:rPr>
              <w:t>QUALAB</w:t>
            </w:r>
          </w:p>
        </w:tc>
        <w:tc>
          <w:tcPr>
            <w:tcW w:w="7887" w:type="dxa"/>
            <w:noWrap/>
          </w:tcPr>
          <w:p w14:paraId="279E5FE4" w14:textId="77777777" w:rsidR="00EF4BEC" w:rsidRDefault="009E2ACD">
            <w:pPr>
              <w:rPr>
                <w:rFonts w:cs="Arial"/>
                <w:lang w:val="it-IT"/>
              </w:rPr>
            </w:pPr>
            <w:r>
              <w:rPr>
                <w:rFonts w:cs="Arial"/>
                <w:lang w:val="it-IT"/>
              </w:rPr>
              <w:t>Associazione svizzera per la promozione della qualità nei laboratori medici</w:t>
            </w:r>
          </w:p>
        </w:tc>
      </w:tr>
      <w:tr w:rsidR="00EF4BEC" w14:paraId="1F701D0E" w14:textId="77777777">
        <w:trPr>
          <w:trHeight w:val="300"/>
        </w:trPr>
        <w:tc>
          <w:tcPr>
            <w:tcW w:w="1930" w:type="dxa"/>
            <w:noWrap/>
          </w:tcPr>
          <w:p w14:paraId="5C51B3AF" w14:textId="77777777" w:rsidR="00EF4BEC" w:rsidRDefault="009E2ACD">
            <w:pPr>
              <w:rPr>
                <w:rFonts w:cs="Arial"/>
              </w:rPr>
            </w:pPr>
            <w:r>
              <w:rPr>
                <w:rFonts w:cs="Arial"/>
              </w:rPr>
              <w:t>RAI</w:t>
            </w:r>
          </w:p>
        </w:tc>
        <w:tc>
          <w:tcPr>
            <w:tcW w:w="7887" w:type="dxa"/>
            <w:noWrap/>
          </w:tcPr>
          <w:p w14:paraId="45671A7E" w14:textId="77777777" w:rsidR="00EF4BEC" w:rsidRDefault="009E2ACD">
            <w:pPr>
              <w:rPr>
                <w:rFonts w:cs="Arial"/>
              </w:rPr>
            </w:pPr>
            <w:r>
              <w:rPr>
                <w:rFonts w:cs="Arial"/>
              </w:rPr>
              <w:t>Ricerca anticorpi irregolari</w:t>
            </w:r>
          </w:p>
        </w:tc>
      </w:tr>
      <w:tr w:rsidR="00EF4BEC" w:rsidRPr="00867F18" w14:paraId="32868ADB" w14:textId="77777777">
        <w:trPr>
          <w:trHeight w:val="300"/>
        </w:trPr>
        <w:tc>
          <w:tcPr>
            <w:tcW w:w="1930" w:type="dxa"/>
            <w:noWrap/>
          </w:tcPr>
          <w:p w14:paraId="2B176E4A" w14:textId="77777777" w:rsidR="00EF4BEC" w:rsidRDefault="009E2ACD">
            <w:pPr>
              <w:rPr>
                <w:rFonts w:cs="Arial"/>
              </w:rPr>
            </w:pPr>
            <w:r>
              <w:rPr>
                <w:rFonts w:cs="Arial"/>
              </w:rPr>
              <w:t>RHD*06</w:t>
            </w:r>
          </w:p>
        </w:tc>
        <w:tc>
          <w:tcPr>
            <w:tcW w:w="7887" w:type="dxa"/>
            <w:noWrap/>
          </w:tcPr>
          <w:p w14:paraId="3CEEDC4F" w14:textId="77777777" w:rsidR="00EF4BEC" w:rsidRDefault="009E2ACD">
            <w:pPr>
              <w:rPr>
                <w:rFonts w:cs="Arial"/>
                <w:lang w:val="it-IT"/>
              </w:rPr>
            </w:pPr>
            <w:r>
              <w:rPr>
                <w:rFonts w:cs="Arial"/>
                <w:lang w:val="it-IT"/>
              </w:rPr>
              <w:t xml:space="preserve">Variante </w:t>
            </w:r>
            <w:r>
              <w:rPr>
                <w:rFonts w:cs="Arial"/>
                <w:i/>
                <w:lang w:val="it-IT"/>
              </w:rPr>
              <w:t>RHD*06 (RHD*DVI)</w:t>
            </w:r>
            <w:r>
              <w:rPr>
                <w:rFonts w:cs="Arial"/>
                <w:lang w:val="it-IT"/>
              </w:rPr>
              <w:t xml:space="preserve"> di RHD</w:t>
            </w:r>
          </w:p>
        </w:tc>
      </w:tr>
      <w:tr w:rsidR="00EF4BEC" w14:paraId="707E2A84" w14:textId="77777777">
        <w:trPr>
          <w:trHeight w:val="300"/>
        </w:trPr>
        <w:tc>
          <w:tcPr>
            <w:tcW w:w="1930" w:type="dxa"/>
            <w:noWrap/>
          </w:tcPr>
          <w:p w14:paraId="6E89CA53" w14:textId="77777777" w:rsidR="00EF4BEC" w:rsidRDefault="009E2ACD">
            <w:pPr>
              <w:rPr>
                <w:rFonts w:cs="Arial"/>
              </w:rPr>
            </w:pPr>
            <w:r>
              <w:rPr>
                <w:rFonts w:cs="Arial"/>
              </w:rPr>
              <w:t>SG</w:t>
            </w:r>
          </w:p>
        </w:tc>
        <w:tc>
          <w:tcPr>
            <w:tcW w:w="7887" w:type="dxa"/>
            <w:noWrap/>
          </w:tcPr>
          <w:p w14:paraId="3723B908" w14:textId="77777777" w:rsidR="00EF4BEC" w:rsidRDefault="009E2ACD">
            <w:pPr>
              <w:rPr>
                <w:rFonts w:cs="Arial"/>
              </w:rPr>
            </w:pPr>
            <w:r>
              <w:rPr>
                <w:rFonts w:cs="Arial"/>
              </w:rPr>
              <w:t>Settimana di gravidanza</w:t>
            </w:r>
          </w:p>
        </w:tc>
      </w:tr>
      <w:tr w:rsidR="00EF4BEC" w:rsidRPr="00867F18" w14:paraId="52059D79" w14:textId="77777777">
        <w:trPr>
          <w:trHeight w:val="300"/>
        </w:trPr>
        <w:tc>
          <w:tcPr>
            <w:tcW w:w="1930" w:type="dxa"/>
            <w:noWrap/>
          </w:tcPr>
          <w:p w14:paraId="3331F627" w14:textId="77777777" w:rsidR="00EF4BEC" w:rsidRDefault="009E2ACD">
            <w:pPr>
              <w:rPr>
                <w:rFonts w:cs="Arial"/>
              </w:rPr>
            </w:pPr>
            <w:r>
              <w:rPr>
                <w:rFonts w:cs="Arial"/>
              </w:rPr>
              <w:t>SGQ</w:t>
            </w:r>
          </w:p>
        </w:tc>
        <w:tc>
          <w:tcPr>
            <w:tcW w:w="7887" w:type="dxa"/>
            <w:noWrap/>
          </w:tcPr>
          <w:p w14:paraId="1EBCF4BC" w14:textId="77777777" w:rsidR="00EF4BEC" w:rsidRDefault="009E2ACD">
            <w:pPr>
              <w:rPr>
                <w:rFonts w:cs="Arial"/>
                <w:lang w:val="it-IT"/>
              </w:rPr>
            </w:pPr>
            <w:r>
              <w:rPr>
                <w:rFonts w:cs="Arial"/>
                <w:lang w:val="it-IT"/>
              </w:rPr>
              <w:t>Sistema di gestione della qualità</w:t>
            </w:r>
          </w:p>
        </w:tc>
      </w:tr>
      <w:tr w:rsidR="00EF4BEC" w:rsidRPr="007C6931" w14:paraId="0EACF405" w14:textId="77777777">
        <w:trPr>
          <w:trHeight w:val="300"/>
        </w:trPr>
        <w:tc>
          <w:tcPr>
            <w:tcW w:w="1930" w:type="dxa"/>
            <w:noWrap/>
          </w:tcPr>
          <w:p w14:paraId="3C77083E" w14:textId="77777777" w:rsidR="00EF4BEC" w:rsidRDefault="009E2ACD">
            <w:pPr>
              <w:rPr>
                <w:rFonts w:cs="Arial"/>
              </w:rPr>
            </w:pPr>
            <w:r>
              <w:rPr>
                <w:rFonts w:cs="Arial"/>
              </w:rPr>
              <w:t>T&amp;S</w:t>
            </w:r>
          </w:p>
        </w:tc>
        <w:tc>
          <w:tcPr>
            <w:tcW w:w="7887" w:type="dxa"/>
            <w:noWrap/>
          </w:tcPr>
          <w:p w14:paraId="3D8411D5" w14:textId="77777777" w:rsidR="00EF4BEC" w:rsidRDefault="009E2ACD">
            <w:pPr>
              <w:rPr>
                <w:rFonts w:cs="Arial"/>
                <w:lang w:val="it-IT"/>
              </w:rPr>
            </w:pPr>
            <w:r>
              <w:rPr>
                <w:rFonts w:cs="Arial"/>
                <w:lang w:val="it-IT"/>
              </w:rPr>
              <w:t>Type and screen (determinazione del gruppo sanguigno e ricerca anticorpi)</w:t>
            </w:r>
          </w:p>
        </w:tc>
      </w:tr>
      <w:tr w:rsidR="00EF4BEC" w14:paraId="50193B8F" w14:textId="77777777">
        <w:trPr>
          <w:trHeight w:val="300"/>
        </w:trPr>
        <w:tc>
          <w:tcPr>
            <w:tcW w:w="1930" w:type="dxa"/>
            <w:noWrap/>
          </w:tcPr>
          <w:p w14:paraId="1C1A1CEA" w14:textId="77777777" w:rsidR="00EF4BEC" w:rsidRDefault="009E2ACD">
            <w:pPr>
              <w:rPr>
                <w:rFonts w:cs="Arial"/>
              </w:rPr>
            </w:pPr>
            <w:r>
              <w:rPr>
                <w:rFonts w:cs="Arial"/>
              </w:rPr>
              <w:t>TC</w:t>
            </w:r>
          </w:p>
        </w:tc>
        <w:tc>
          <w:tcPr>
            <w:tcW w:w="7887" w:type="dxa"/>
            <w:noWrap/>
          </w:tcPr>
          <w:p w14:paraId="30D40038" w14:textId="77777777" w:rsidR="00EF4BEC" w:rsidRDefault="009E2ACD">
            <w:pPr>
              <w:rPr>
                <w:rFonts w:cs="Arial"/>
              </w:rPr>
            </w:pPr>
            <w:r>
              <w:rPr>
                <w:rFonts w:cs="Arial"/>
              </w:rPr>
              <w:t>Test di compatibilità</w:t>
            </w:r>
          </w:p>
        </w:tc>
      </w:tr>
      <w:tr w:rsidR="00EF4BEC" w14:paraId="208E3393" w14:textId="77777777">
        <w:trPr>
          <w:trHeight w:val="300"/>
        </w:trPr>
        <w:tc>
          <w:tcPr>
            <w:tcW w:w="1930" w:type="dxa"/>
            <w:noWrap/>
          </w:tcPr>
          <w:p w14:paraId="730EC745" w14:textId="77777777" w:rsidR="00EF4BEC" w:rsidRDefault="009E2ACD">
            <w:pPr>
              <w:rPr>
                <w:rFonts w:cs="Arial"/>
              </w:rPr>
            </w:pPr>
            <w:r>
              <w:rPr>
                <w:rFonts w:cs="Arial"/>
              </w:rPr>
              <w:t>T-CH CRS</w:t>
            </w:r>
          </w:p>
        </w:tc>
        <w:tc>
          <w:tcPr>
            <w:tcW w:w="7887" w:type="dxa"/>
            <w:noWrap/>
          </w:tcPr>
          <w:p w14:paraId="18FF989B" w14:textId="77777777" w:rsidR="00EF4BEC" w:rsidRDefault="009E2ACD">
            <w:pPr>
              <w:rPr>
                <w:rFonts w:cs="Arial"/>
              </w:rPr>
            </w:pPr>
            <w:r>
              <w:rPr>
                <w:rFonts w:cs="Arial"/>
              </w:rPr>
              <w:t>Trasfusione CRS Svizzera</w:t>
            </w:r>
          </w:p>
        </w:tc>
      </w:tr>
    </w:tbl>
    <w:p w14:paraId="0A5D49E6" w14:textId="77777777" w:rsidR="00EF4BEC" w:rsidRDefault="00EF4BEC">
      <w:pPr>
        <w:rPr>
          <w:rFonts w:cs="Arial"/>
          <w:lang w:val="it-IT"/>
        </w:rPr>
      </w:pPr>
    </w:p>
    <w:p w14:paraId="71471BB5" w14:textId="77777777" w:rsidR="00EF4BEC" w:rsidRDefault="00EF4BEC">
      <w:pPr>
        <w:rPr>
          <w:rFonts w:cs="Arial"/>
          <w:lang w:val="it-IT"/>
        </w:rPr>
        <w:sectPr w:rsidR="00EF4BEC">
          <w:headerReference w:type="default" r:id="rId13"/>
          <w:footerReference w:type="default" r:id="rId14"/>
          <w:pgSz w:w="11906" w:h="16838"/>
          <w:pgMar w:top="1418" w:right="1418" w:bottom="851" w:left="1418" w:header="567" w:footer="0" w:gutter="0"/>
          <w:cols w:space="708"/>
          <w:docGrid w:linePitch="360"/>
        </w:sectPr>
      </w:pPr>
    </w:p>
    <w:sdt>
      <w:sdtPr>
        <w:rPr>
          <w:rFonts w:cs="Arial"/>
        </w:rPr>
        <w:id w:val="-1115294275"/>
        <w:docPartObj>
          <w:docPartGallery w:val="Table of Contents"/>
          <w:docPartUnique/>
        </w:docPartObj>
      </w:sdtPr>
      <w:sdtEndPr/>
      <w:sdtContent>
        <w:p w14:paraId="4FFEE2AB" w14:textId="77777777" w:rsidR="00EF4BEC" w:rsidRDefault="009E2ACD">
          <w:pPr>
            <w:rPr>
              <w:rFonts w:cs="Arial"/>
              <w:b/>
            </w:rPr>
          </w:pPr>
          <w:r>
            <w:rPr>
              <w:rFonts w:cs="Arial"/>
              <w:b/>
            </w:rPr>
            <w:t>Indice</w:t>
          </w:r>
        </w:p>
        <w:p w14:paraId="154DBBEC" w14:textId="1B863AAB" w:rsidR="007C6931" w:rsidRDefault="009E2ACD">
          <w:pPr>
            <w:pStyle w:val="Verzeichnis1"/>
            <w:tabs>
              <w:tab w:val="right" w:leader="dot" w:pos="9060"/>
            </w:tabs>
            <w:rPr>
              <w:rFonts w:asciiTheme="minorHAnsi" w:eastAsiaTheme="minorEastAsia" w:hAnsiTheme="minorHAnsi"/>
              <w:b w:val="0"/>
              <w:noProof/>
              <w:sz w:val="22"/>
              <w:lang w:eastAsia="de-CH"/>
            </w:rPr>
          </w:pPr>
          <w:r>
            <w:rPr>
              <w:rFonts w:cs="Arial"/>
              <w:b w:val="0"/>
            </w:rPr>
            <w:fldChar w:fldCharType="begin"/>
          </w:r>
          <w:r>
            <w:rPr>
              <w:rFonts w:cs="Arial"/>
              <w:b w:val="0"/>
            </w:rPr>
            <w:instrText xml:space="preserve"> TOC \o "1-3" \h \z \u </w:instrText>
          </w:r>
          <w:r>
            <w:rPr>
              <w:rFonts w:cs="Arial"/>
              <w:b w:val="0"/>
            </w:rPr>
            <w:fldChar w:fldCharType="separate"/>
          </w:r>
          <w:hyperlink w:anchor="_Toc161749072" w:history="1">
            <w:r w:rsidR="007C6931" w:rsidRPr="005B368F">
              <w:rPr>
                <w:rStyle w:val="Hyperlink"/>
                <w:noProof/>
              </w:rPr>
              <w:t>Premessa</w:t>
            </w:r>
            <w:r w:rsidR="007C6931">
              <w:rPr>
                <w:noProof/>
                <w:webHidden/>
              </w:rPr>
              <w:tab/>
            </w:r>
            <w:r w:rsidR="007C6931">
              <w:rPr>
                <w:noProof/>
                <w:webHidden/>
              </w:rPr>
              <w:fldChar w:fldCharType="begin"/>
            </w:r>
            <w:r w:rsidR="007C6931">
              <w:rPr>
                <w:noProof/>
                <w:webHidden/>
              </w:rPr>
              <w:instrText xml:space="preserve"> PAGEREF _Toc161749072 \h </w:instrText>
            </w:r>
            <w:r w:rsidR="007C6931">
              <w:rPr>
                <w:noProof/>
                <w:webHidden/>
              </w:rPr>
            </w:r>
            <w:r w:rsidR="007C6931">
              <w:rPr>
                <w:noProof/>
                <w:webHidden/>
              </w:rPr>
              <w:fldChar w:fldCharType="separate"/>
            </w:r>
            <w:r w:rsidR="007C6931">
              <w:rPr>
                <w:noProof/>
                <w:webHidden/>
              </w:rPr>
              <w:t>10</w:t>
            </w:r>
            <w:r w:rsidR="007C6931">
              <w:rPr>
                <w:noProof/>
                <w:webHidden/>
              </w:rPr>
              <w:fldChar w:fldCharType="end"/>
            </w:r>
          </w:hyperlink>
        </w:p>
        <w:p w14:paraId="622F1184" w14:textId="0CA9FDB6" w:rsidR="007C6931" w:rsidRDefault="00654E10">
          <w:pPr>
            <w:pStyle w:val="Verzeichnis1"/>
            <w:tabs>
              <w:tab w:val="left" w:pos="400"/>
              <w:tab w:val="right" w:leader="dot" w:pos="9060"/>
            </w:tabs>
            <w:rPr>
              <w:rFonts w:asciiTheme="minorHAnsi" w:eastAsiaTheme="minorEastAsia" w:hAnsiTheme="minorHAnsi"/>
              <w:b w:val="0"/>
              <w:noProof/>
              <w:sz w:val="22"/>
              <w:lang w:eastAsia="de-CH"/>
            </w:rPr>
          </w:pPr>
          <w:hyperlink w:anchor="_Toc161749073" w:history="1">
            <w:r w:rsidR="007C6931" w:rsidRPr="005B368F">
              <w:rPr>
                <w:rStyle w:val="Hyperlink"/>
                <w:noProof/>
              </w:rPr>
              <w:t>1</w:t>
            </w:r>
            <w:r w:rsidR="007C6931">
              <w:rPr>
                <w:rFonts w:asciiTheme="minorHAnsi" w:eastAsiaTheme="minorEastAsia" w:hAnsiTheme="minorHAnsi"/>
                <w:b w:val="0"/>
                <w:noProof/>
                <w:sz w:val="22"/>
                <w:lang w:eastAsia="de-CH"/>
              </w:rPr>
              <w:tab/>
            </w:r>
            <w:r w:rsidR="007C6931" w:rsidRPr="005B368F">
              <w:rPr>
                <w:rStyle w:val="Hyperlink"/>
                <w:noProof/>
              </w:rPr>
              <w:t>Introduzione e campo di applicazione</w:t>
            </w:r>
            <w:r w:rsidR="007C6931">
              <w:rPr>
                <w:noProof/>
                <w:webHidden/>
              </w:rPr>
              <w:tab/>
            </w:r>
            <w:r w:rsidR="007C6931">
              <w:rPr>
                <w:noProof/>
                <w:webHidden/>
              </w:rPr>
              <w:fldChar w:fldCharType="begin"/>
            </w:r>
            <w:r w:rsidR="007C6931">
              <w:rPr>
                <w:noProof/>
                <w:webHidden/>
              </w:rPr>
              <w:instrText xml:space="preserve"> PAGEREF _Toc161749073 \h </w:instrText>
            </w:r>
            <w:r w:rsidR="007C6931">
              <w:rPr>
                <w:noProof/>
                <w:webHidden/>
              </w:rPr>
            </w:r>
            <w:r w:rsidR="007C6931">
              <w:rPr>
                <w:noProof/>
                <w:webHidden/>
              </w:rPr>
              <w:fldChar w:fldCharType="separate"/>
            </w:r>
            <w:r w:rsidR="007C6931">
              <w:rPr>
                <w:noProof/>
                <w:webHidden/>
              </w:rPr>
              <w:t>11</w:t>
            </w:r>
            <w:r w:rsidR="007C6931">
              <w:rPr>
                <w:noProof/>
                <w:webHidden/>
              </w:rPr>
              <w:fldChar w:fldCharType="end"/>
            </w:r>
          </w:hyperlink>
        </w:p>
        <w:p w14:paraId="42BFEB6A" w14:textId="438D2478" w:rsidR="007C6931" w:rsidRDefault="00654E10">
          <w:pPr>
            <w:pStyle w:val="Verzeichnis2"/>
            <w:rPr>
              <w:rFonts w:asciiTheme="minorHAnsi" w:eastAsiaTheme="minorEastAsia" w:hAnsiTheme="minorHAnsi"/>
              <w:noProof/>
              <w:sz w:val="22"/>
              <w:lang w:eastAsia="de-CH"/>
            </w:rPr>
          </w:pPr>
          <w:hyperlink w:anchor="_Toc161749074" w:history="1">
            <w:r w:rsidR="007C6931" w:rsidRPr="005B368F">
              <w:rPr>
                <w:rStyle w:val="Hyperlink"/>
                <w:noProof/>
              </w:rPr>
              <w:t>1.1</w:t>
            </w:r>
            <w:r w:rsidR="007C6931">
              <w:rPr>
                <w:rFonts w:asciiTheme="minorHAnsi" w:eastAsiaTheme="minorEastAsia" w:hAnsiTheme="minorHAnsi"/>
                <w:noProof/>
                <w:sz w:val="22"/>
                <w:lang w:eastAsia="de-CH"/>
              </w:rPr>
              <w:tab/>
            </w:r>
            <w:r w:rsidR="007C6931" w:rsidRPr="005B368F">
              <w:rPr>
                <w:rStyle w:val="Hyperlink"/>
                <w:noProof/>
              </w:rPr>
              <w:t xml:space="preserve">Esigenze trasfusionali generali </w:t>
            </w:r>
            <w:r w:rsidR="007C6931" w:rsidRPr="005B368F">
              <w:rPr>
                <w:rStyle w:val="Hyperlink"/>
                <w:rFonts w:cs="Arial"/>
                <w:noProof/>
              </w:rPr>
              <w:t>[2]</w:t>
            </w:r>
            <w:r w:rsidR="007C6931">
              <w:rPr>
                <w:noProof/>
                <w:webHidden/>
              </w:rPr>
              <w:tab/>
            </w:r>
            <w:r w:rsidR="007C6931">
              <w:rPr>
                <w:noProof/>
                <w:webHidden/>
              </w:rPr>
              <w:fldChar w:fldCharType="begin"/>
            </w:r>
            <w:r w:rsidR="007C6931">
              <w:rPr>
                <w:noProof/>
                <w:webHidden/>
              </w:rPr>
              <w:instrText xml:space="preserve"> PAGEREF _Toc161749074 \h </w:instrText>
            </w:r>
            <w:r w:rsidR="007C6931">
              <w:rPr>
                <w:noProof/>
                <w:webHidden/>
              </w:rPr>
            </w:r>
            <w:r w:rsidR="007C6931">
              <w:rPr>
                <w:noProof/>
                <w:webHidden/>
              </w:rPr>
              <w:fldChar w:fldCharType="separate"/>
            </w:r>
            <w:r w:rsidR="007C6931">
              <w:rPr>
                <w:noProof/>
                <w:webHidden/>
              </w:rPr>
              <w:t>11</w:t>
            </w:r>
            <w:r w:rsidR="007C6931">
              <w:rPr>
                <w:noProof/>
                <w:webHidden/>
              </w:rPr>
              <w:fldChar w:fldCharType="end"/>
            </w:r>
          </w:hyperlink>
        </w:p>
        <w:p w14:paraId="57B72204" w14:textId="5AB477DE" w:rsidR="007C6931" w:rsidRDefault="00654E10">
          <w:pPr>
            <w:pStyle w:val="Verzeichnis1"/>
            <w:tabs>
              <w:tab w:val="left" w:pos="400"/>
              <w:tab w:val="right" w:leader="dot" w:pos="9060"/>
            </w:tabs>
            <w:rPr>
              <w:rFonts w:asciiTheme="minorHAnsi" w:eastAsiaTheme="minorEastAsia" w:hAnsiTheme="minorHAnsi"/>
              <w:b w:val="0"/>
              <w:noProof/>
              <w:sz w:val="22"/>
              <w:lang w:eastAsia="de-CH"/>
            </w:rPr>
          </w:pPr>
          <w:hyperlink w:anchor="_Toc161749075" w:history="1">
            <w:r w:rsidR="007C6931" w:rsidRPr="005B368F">
              <w:rPr>
                <w:rStyle w:val="Hyperlink"/>
                <w:noProof/>
              </w:rPr>
              <w:t>2</w:t>
            </w:r>
            <w:r w:rsidR="007C6931">
              <w:rPr>
                <w:rFonts w:asciiTheme="minorHAnsi" w:eastAsiaTheme="minorEastAsia" w:hAnsiTheme="minorHAnsi"/>
                <w:b w:val="0"/>
                <w:noProof/>
                <w:sz w:val="22"/>
                <w:lang w:eastAsia="de-CH"/>
              </w:rPr>
              <w:tab/>
            </w:r>
            <w:r w:rsidR="007C6931" w:rsidRPr="005B368F">
              <w:rPr>
                <w:rStyle w:val="Hyperlink"/>
                <w:noProof/>
              </w:rPr>
              <w:t xml:space="preserve">Sistema di gestione della qualità e documentazione </w:t>
            </w:r>
            <w:r w:rsidR="007C6931" w:rsidRPr="005B368F">
              <w:rPr>
                <w:rStyle w:val="Hyperlink"/>
                <w:rFonts w:cs="Arial"/>
                <w:noProof/>
              </w:rPr>
              <w:t>[8]</w:t>
            </w:r>
            <w:r w:rsidR="007C6931">
              <w:rPr>
                <w:noProof/>
                <w:webHidden/>
              </w:rPr>
              <w:tab/>
            </w:r>
            <w:r w:rsidR="007C6931">
              <w:rPr>
                <w:noProof/>
                <w:webHidden/>
              </w:rPr>
              <w:fldChar w:fldCharType="begin"/>
            </w:r>
            <w:r w:rsidR="007C6931">
              <w:rPr>
                <w:noProof/>
                <w:webHidden/>
              </w:rPr>
              <w:instrText xml:space="preserve"> PAGEREF _Toc161749075 \h </w:instrText>
            </w:r>
            <w:r w:rsidR="007C6931">
              <w:rPr>
                <w:noProof/>
                <w:webHidden/>
              </w:rPr>
            </w:r>
            <w:r w:rsidR="007C6931">
              <w:rPr>
                <w:noProof/>
                <w:webHidden/>
              </w:rPr>
              <w:fldChar w:fldCharType="separate"/>
            </w:r>
            <w:r w:rsidR="007C6931">
              <w:rPr>
                <w:noProof/>
                <w:webHidden/>
              </w:rPr>
              <w:t>12</w:t>
            </w:r>
            <w:r w:rsidR="007C6931">
              <w:rPr>
                <w:noProof/>
                <w:webHidden/>
              </w:rPr>
              <w:fldChar w:fldCharType="end"/>
            </w:r>
          </w:hyperlink>
        </w:p>
        <w:p w14:paraId="27A0CB7F" w14:textId="33BABCF1" w:rsidR="007C6931" w:rsidRDefault="00654E10">
          <w:pPr>
            <w:pStyle w:val="Verzeichnis2"/>
            <w:rPr>
              <w:rFonts w:asciiTheme="minorHAnsi" w:eastAsiaTheme="minorEastAsia" w:hAnsiTheme="minorHAnsi"/>
              <w:noProof/>
              <w:sz w:val="22"/>
              <w:lang w:eastAsia="de-CH"/>
            </w:rPr>
          </w:pPr>
          <w:hyperlink w:anchor="_Toc161749076" w:history="1">
            <w:r w:rsidR="007C6931" w:rsidRPr="005B368F">
              <w:rPr>
                <w:rStyle w:val="Hyperlink"/>
                <w:noProof/>
              </w:rPr>
              <w:t>2.1</w:t>
            </w:r>
            <w:r w:rsidR="007C6931">
              <w:rPr>
                <w:rFonts w:asciiTheme="minorHAnsi" w:eastAsiaTheme="minorEastAsia" w:hAnsiTheme="minorHAnsi"/>
                <w:noProof/>
                <w:sz w:val="22"/>
                <w:lang w:eastAsia="de-CH"/>
              </w:rPr>
              <w:tab/>
            </w:r>
            <w:r w:rsidR="007C6931" w:rsidRPr="005B368F">
              <w:rPr>
                <w:rStyle w:val="Hyperlink"/>
                <w:noProof/>
              </w:rPr>
              <w:t>Requisiti di qualità generali</w:t>
            </w:r>
            <w:r w:rsidR="007C6931">
              <w:rPr>
                <w:noProof/>
                <w:webHidden/>
              </w:rPr>
              <w:tab/>
            </w:r>
            <w:r w:rsidR="007C6931">
              <w:rPr>
                <w:noProof/>
                <w:webHidden/>
              </w:rPr>
              <w:fldChar w:fldCharType="begin"/>
            </w:r>
            <w:r w:rsidR="007C6931">
              <w:rPr>
                <w:noProof/>
                <w:webHidden/>
              </w:rPr>
              <w:instrText xml:space="preserve"> PAGEREF _Toc161749076 \h </w:instrText>
            </w:r>
            <w:r w:rsidR="007C6931">
              <w:rPr>
                <w:noProof/>
                <w:webHidden/>
              </w:rPr>
            </w:r>
            <w:r w:rsidR="007C6931">
              <w:rPr>
                <w:noProof/>
                <w:webHidden/>
              </w:rPr>
              <w:fldChar w:fldCharType="separate"/>
            </w:r>
            <w:r w:rsidR="007C6931">
              <w:rPr>
                <w:noProof/>
                <w:webHidden/>
              </w:rPr>
              <w:t>12</w:t>
            </w:r>
            <w:r w:rsidR="007C6931">
              <w:rPr>
                <w:noProof/>
                <w:webHidden/>
              </w:rPr>
              <w:fldChar w:fldCharType="end"/>
            </w:r>
          </w:hyperlink>
        </w:p>
        <w:p w14:paraId="5EAB8B05" w14:textId="79E3BD9D" w:rsidR="007C6931" w:rsidRDefault="00654E10">
          <w:pPr>
            <w:pStyle w:val="Verzeichnis2"/>
            <w:rPr>
              <w:rFonts w:asciiTheme="minorHAnsi" w:eastAsiaTheme="minorEastAsia" w:hAnsiTheme="minorHAnsi"/>
              <w:noProof/>
              <w:sz w:val="22"/>
              <w:lang w:eastAsia="de-CH"/>
            </w:rPr>
          </w:pPr>
          <w:hyperlink w:anchor="_Toc161749077" w:history="1">
            <w:r w:rsidR="007C6931" w:rsidRPr="005B368F">
              <w:rPr>
                <w:rStyle w:val="Hyperlink"/>
                <w:noProof/>
              </w:rPr>
              <w:t>2.2</w:t>
            </w:r>
            <w:r w:rsidR="007C6931">
              <w:rPr>
                <w:rFonts w:asciiTheme="minorHAnsi" w:eastAsiaTheme="minorEastAsia" w:hAnsiTheme="minorHAnsi"/>
                <w:noProof/>
                <w:sz w:val="22"/>
                <w:lang w:eastAsia="de-CH"/>
              </w:rPr>
              <w:tab/>
            </w:r>
            <w:r w:rsidR="007C6931" w:rsidRPr="005B368F">
              <w:rPr>
                <w:rStyle w:val="Hyperlink"/>
                <w:noProof/>
              </w:rPr>
              <w:t>Requisiti per la liberazione elettronica di CE</w:t>
            </w:r>
            <w:r w:rsidR="007C6931">
              <w:rPr>
                <w:noProof/>
                <w:webHidden/>
              </w:rPr>
              <w:tab/>
            </w:r>
            <w:r w:rsidR="007C6931">
              <w:rPr>
                <w:noProof/>
                <w:webHidden/>
              </w:rPr>
              <w:fldChar w:fldCharType="begin"/>
            </w:r>
            <w:r w:rsidR="007C6931">
              <w:rPr>
                <w:noProof/>
                <w:webHidden/>
              </w:rPr>
              <w:instrText xml:space="preserve"> PAGEREF _Toc161749077 \h </w:instrText>
            </w:r>
            <w:r w:rsidR="007C6931">
              <w:rPr>
                <w:noProof/>
                <w:webHidden/>
              </w:rPr>
            </w:r>
            <w:r w:rsidR="007C6931">
              <w:rPr>
                <w:noProof/>
                <w:webHidden/>
              </w:rPr>
              <w:fldChar w:fldCharType="separate"/>
            </w:r>
            <w:r w:rsidR="007C6931">
              <w:rPr>
                <w:noProof/>
                <w:webHidden/>
              </w:rPr>
              <w:t>12</w:t>
            </w:r>
            <w:r w:rsidR="007C6931">
              <w:rPr>
                <w:noProof/>
                <w:webHidden/>
              </w:rPr>
              <w:fldChar w:fldCharType="end"/>
            </w:r>
          </w:hyperlink>
        </w:p>
        <w:p w14:paraId="76012E62" w14:textId="4EA02A7C" w:rsidR="007C6931" w:rsidRDefault="00654E10">
          <w:pPr>
            <w:pStyle w:val="Verzeichnis2"/>
            <w:rPr>
              <w:rFonts w:asciiTheme="minorHAnsi" w:eastAsiaTheme="minorEastAsia" w:hAnsiTheme="minorHAnsi"/>
              <w:noProof/>
              <w:sz w:val="22"/>
              <w:lang w:eastAsia="de-CH"/>
            </w:rPr>
          </w:pPr>
          <w:hyperlink w:anchor="_Toc161749078" w:history="1">
            <w:r w:rsidR="007C6931" w:rsidRPr="005B368F">
              <w:rPr>
                <w:rStyle w:val="Hyperlink"/>
                <w:noProof/>
              </w:rPr>
              <w:t>2.3</w:t>
            </w:r>
            <w:r w:rsidR="007C6931">
              <w:rPr>
                <w:rFonts w:asciiTheme="minorHAnsi" w:eastAsiaTheme="minorEastAsia" w:hAnsiTheme="minorHAnsi"/>
                <w:noProof/>
                <w:sz w:val="22"/>
                <w:lang w:eastAsia="de-CH"/>
              </w:rPr>
              <w:tab/>
            </w:r>
            <w:r w:rsidR="007C6931" w:rsidRPr="005B368F">
              <w:rPr>
                <w:rStyle w:val="Hyperlink"/>
                <w:noProof/>
              </w:rPr>
              <w:t>Obbligo di registrazione e conservazione</w:t>
            </w:r>
            <w:r w:rsidR="007C6931">
              <w:rPr>
                <w:noProof/>
                <w:webHidden/>
              </w:rPr>
              <w:tab/>
            </w:r>
            <w:r w:rsidR="007C6931">
              <w:rPr>
                <w:noProof/>
                <w:webHidden/>
              </w:rPr>
              <w:fldChar w:fldCharType="begin"/>
            </w:r>
            <w:r w:rsidR="007C6931">
              <w:rPr>
                <w:noProof/>
                <w:webHidden/>
              </w:rPr>
              <w:instrText xml:space="preserve"> PAGEREF _Toc161749078 \h </w:instrText>
            </w:r>
            <w:r w:rsidR="007C6931">
              <w:rPr>
                <w:noProof/>
                <w:webHidden/>
              </w:rPr>
            </w:r>
            <w:r w:rsidR="007C6931">
              <w:rPr>
                <w:noProof/>
                <w:webHidden/>
              </w:rPr>
              <w:fldChar w:fldCharType="separate"/>
            </w:r>
            <w:r w:rsidR="007C6931">
              <w:rPr>
                <w:noProof/>
                <w:webHidden/>
              </w:rPr>
              <w:t>12</w:t>
            </w:r>
            <w:r w:rsidR="007C6931">
              <w:rPr>
                <w:noProof/>
                <w:webHidden/>
              </w:rPr>
              <w:fldChar w:fldCharType="end"/>
            </w:r>
          </w:hyperlink>
        </w:p>
        <w:p w14:paraId="265D5133" w14:textId="4395AFCE" w:rsidR="007C6931" w:rsidRDefault="00654E10">
          <w:pPr>
            <w:pStyle w:val="Verzeichnis1"/>
            <w:tabs>
              <w:tab w:val="left" w:pos="400"/>
              <w:tab w:val="right" w:leader="dot" w:pos="9060"/>
            </w:tabs>
            <w:rPr>
              <w:rFonts w:asciiTheme="minorHAnsi" w:eastAsiaTheme="minorEastAsia" w:hAnsiTheme="minorHAnsi"/>
              <w:b w:val="0"/>
              <w:noProof/>
              <w:sz w:val="22"/>
              <w:lang w:eastAsia="de-CH"/>
            </w:rPr>
          </w:pPr>
          <w:hyperlink w:anchor="_Toc161749079" w:history="1">
            <w:r w:rsidR="007C6931" w:rsidRPr="005B368F">
              <w:rPr>
                <w:rStyle w:val="Hyperlink"/>
                <w:noProof/>
              </w:rPr>
              <w:t>3</w:t>
            </w:r>
            <w:r w:rsidR="007C6931">
              <w:rPr>
                <w:rFonts w:asciiTheme="minorHAnsi" w:eastAsiaTheme="minorEastAsia" w:hAnsiTheme="minorHAnsi"/>
                <w:b w:val="0"/>
                <w:noProof/>
                <w:sz w:val="22"/>
                <w:lang w:eastAsia="de-CH"/>
              </w:rPr>
              <w:tab/>
            </w:r>
            <w:r w:rsidR="007C6931" w:rsidRPr="005B368F">
              <w:rPr>
                <w:rStyle w:val="Hyperlink"/>
                <w:noProof/>
              </w:rPr>
              <w:t>Reattivi, apparecchiature e controlli di qualità</w:t>
            </w:r>
            <w:r w:rsidR="007C6931">
              <w:rPr>
                <w:noProof/>
                <w:webHidden/>
              </w:rPr>
              <w:tab/>
            </w:r>
            <w:r w:rsidR="007C6931">
              <w:rPr>
                <w:noProof/>
                <w:webHidden/>
              </w:rPr>
              <w:fldChar w:fldCharType="begin"/>
            </w:r>
            <w:r w:rsidR="007C6931">
              <w:rPr>
                <w:noProof/>
                <w:webHidden/>
              </w:rPr>
              <w:instrText xml:space="preserve"> PAGEREF _Toc161749079 \h </w:instrText>
            </w:r>
            <w:r w:rsidR="007C6931">
              <w:rPr>
                <w:noProof/>
                <w:webHidden/>
              </w:rPr>
            </w:r>
            <w:r w:rsidR="007C6931">
              <w:rPr>
                <w:noProof/>
                <w:webHidden/>
              </w:rPr>
              <w:fldChar w:fldCharType="separate"/>
            </w:r>
            <w:r w:rsidR="007C6931">
              <w:rPr>
                <w:noProof/>
                <w:webHidden/>
              </w:rPr>
              <w:t>13</w:t>
            </w:r>
            <w:r w:rsidR="007C6931">
              <w:rPr>
                <w:noProof/>
                <w:webHidden/>
              </w:rPr>
              <w:fldChar w:fldCharType="end"/>
            </w:r>
          </w:hyperlink>
        </w:p>
        <w:p w14:paraId="6500E512" w14:textId="795C44BF" w:rsidR="007C6931" w:rsidRDefault="00654E10">
          <w:pPr>
            <w:pStyle w:val="Verzeichnis2"/>
            <w:rPr>
              <w:rFonts w:asciiTheme="minorHAnsi" w:eastAsiaTheme="minorEastAsia" w:hAnsiTheme="minorHAnsi"/>
              <w:noProof/>
              <w:sz w:val="22"/>
              <w:lang w:eastAsia="de-CH"/>
            </w:rPr>
          </w:pPr>
          <w:hyperlink w:anchor="_Toc161749080" w:history="1">
            <w:r w:rsidR="007C6931" w:rsidRPr="005B368F">
              <w:rPr>
                <w:rStyle w:val="Hyperlink"/>
                <w:noProof/>
              </w:rPr>
              <w:t>3.1</w:t>
            </w:r>
            <w:r w:rsidR="007C6931">
              <w:rPr>
                <w:rFonts w:asciiTheme="minorHAnsi" w:eastAsiaTheme="minorEastAsia" w:hAnsiTheme="minorHAnsi"/>
                <w:noProof/>
                <w:sz w:val="22"/>
                <w:lang w:eastAsia="de-CH"/>
              </w:rPr>
              <w:tab/>
            </w:r>
            <w:r w:rsidR="007C6931" w:rsidRPr="005B368F">
              <w:rPr>
                <w:rStyle w:val="Hyperlink"/>
                <w:noProof/>
              </w:rPr>
              <w:t>Reattivi</w:t>
            </w:r>
            <w:r w:rsidR="007C6931">
              <w:rPr>
                <w:noProof/>
                <w:webHidden/>
              </w:rPr>
              <w:tab/>
            </w:r>
            <w:r w:rsidR="007C6931">
              <w:rPr>
                <w:noProof/>
                <w:webHidden/>
              </w:rPr>
              <w:fldChar w:fldCharType="begin"/>
            </w:r>
            <w:r w:rsidR="007C6931">
              <w:rPr>
                <w:noProof/>
                <w:webHidden/>
              </w:rPr>
              <w:instrText xml:space="preserve"> PAGEREF _Toc161749080 \h </w:instrText>
            </w:r>
            <w:r w:rsidR="007C6931">
              <w:rPr>
                <w:noProof/>
                <w:webHidden/>
              </w:rPr>
            </w:r>
            <w:r w:rsidR="007C6931">
              <w:rPr>
                <w:noProof/>
                <w:webHidden/>
              </w:rPr>
              <w:fldChar w:fldCharType="separate"/>
            </w:r>
            <w:r w:rsidR="007C6931">
              <w:rPr>
                <w:noProof/>
                <w:webHidden/>
              </w:rPr>
              <w:t>13</w:t>
            </w:r>
            <w:r w:rsidR="007C6931">
              <w:rPr>
                <w:noProof/>
                <w:webHidden/>
              </w:rPr>
              <w:fldChar w:fldCharType="end"/>
            </w:r>
          </w:hyperlink>
        </w:p>
        <w:p w14:paraId="6E60D1AE" w14:textId="00042489"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81" w:history="1">
            <w:r w:rsidR="007C6931" w:rsidRPr="005B368F">
              <w:rPr>
                <w:rStyle w:val="Hyperlink"/>
                <w:noProof/>
              </w:rPr>
              <w:t>3.1.1</w:t>
            </w:r>
            <w:r w:rsidR="007C6931">
              <w:rPr>
                <w:rFonts w:asciiTheme="minorHAnsi" w:eastAsiaTheme="minorEastAsia" w:hAnsiTheme="minorHAnsi"/>
                <w:noProof/>
                <w:sz w:val="22"/>
                <w:lang w:eastAsia="de-CH"/>
              </w:rPr>
              <w:tab/>
            </w:r>
            <w:r w:rsidR="007C6931" w:rsidRPr="005B368F">
              <w:rPr>
                <w:rStyle w:val="Hyperlink"/>
                <w:noProof/>
              </w:rPr>
              <w:t>Generalità</w:t>
            </w:r>
            <w:r w:rsidR="007C6931">
              <w:rPr>
                <w:noProof/>
                <w:webHidden/>
              </w:rPr>
              <w:tab/>
            </w:r>
            <w:r w:rsidR="007C6931">
              <w:rPr>
                <w:noProof/>
                <w:webHidden/>
              </w:rPr>
              <w:fldChar w:fldCharType="begin"/>
            </w:r>
            <w:r w:rsidR="007C6931">
              <w:rPr>
                <w:noProof/>
                <w:webHidden/>
              </w:rPr>
              <w:instrText xml:space="preserve"> PAGEREF _Toc161749081 \h </w:instrText>
            </w:r>
            <w:r w:rsidR="007C6931">
              <w:rPr>
                <w:noProof/>
                <w:webHidden/>
              </w:rPr>
            </w:r>
            <w:r w:rsidR="007C6931">
              <w:rPr>
                <w:noProof/>
                <w:webHidden/>
              </w:rPr>
              <w:fldChar w:fldCharType="separate"/>
            </w:r>
            <w:r w:rsidR="007C6931">
              <w:rPr>
                <w:noProof/>
                <w:webHidden/>
              </w:rPr>
              <w:t>13</w:t>
            </w:r>
            <w:r w:rsidR="007C6931">
              <w:rPr>
                <w:noProof/>
                <w:webHidden/>
              </w:rPr>
              <w:fldChar w:fldCharType="end"/>
            </w:r>
          </w:hyperlink>
        </w:p>
        <w:p w14:paraId="135900DE" w14:textId="247F9F18"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82" w:history="1">
            <w:r w:rsidR="007C6931" w:rsidRPr="005B368F">
              <w:rPr>
                <w:rStyle w:val="Hyperlink"/>
                <w:noProof/>
              </w:rPr>
              <w:t>3.1.2</w:t>
            </w:r>
            <w:r w:rsidR="007C6931">
              <w:rPr>
                <w:rFonts w:asciiTheme="minorHAnsi" w:eastAsiaTheme="minorEastAsia" w:hAnsiTheme="minorHAnsi"/>
                <w:noProof/>
                <w:sz w:val="22"/>
                <w:lang w:eastAsia="de-CH"/>
              </w:rPr>
              <w:tab/>
            </w:r>
            <w:r w:rsidR="007C6931" w:rsidRPr="005B368F">
              <w:rPr>
                <w:rStyle w:val="Hyperlink"/>
                <w:noProof/>
              </w:rPr>
              <w:t>Soluzione di lavaggio per eritrociti</w:t>
            </w:r>
            <w:r w:rsidR="007C6931">
              <w:rPr>
                <w:noProof/>
                <w:webHidden/>
              </w:rPr>
              <w:tab/>
            </w:r>
            <w:r w:rsidR="007C6931">
              <w:rPr>
                <w:noProof/>
                <w:webHidden/>
              </w:rPr>
              <w:fldChar w:fldCharType="begin"/>
            </w:r>
            <w:r w:rsidR="007C6931">
              <w:rPr>
                <w:noProof/>
                <w:webHidden/>
              </w:rPr>
              <w:instrText xml:space="preserve"> PAGEREF _Toc161749082 \h </w:instrText>
            </w:r>
            <w:r w:rsidR="007C6931">
              <w:rPr>
                <w:noProof/>
                <w:webHidden/>
              </w:rPr>
            </w:r>
            <w:r w:rsidR="007C6931">
              <w:rPr>
                <w:noProof/>
                <w:webHidden/>
              </w:rPr>
              <w:fldChar w:fldCharType="separate"/>
            </w:r>
            <w:r w:rsidR="007C6931">
              <w:rPr>
                <w:noProof/>
                <w:webHidden/>
              </w:rPr>
              <w:t>13</w:t>
            </w:r>
            <w:r w:rsidR="007C6931">
              <w:rPr>
                <w:noProof/>
                <w:webHidden/>
              </w:rPr>
              <w:fldChar w:fldCharType="end"/>
            </w:r>
          </w:hyperlink>
        </w:p>
        <w:p w14:paraId="5882F37A" w14:textId="0152EDF0"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83" w:history="1">
            <w:r w:rsidR="007C6931" w:rsidRPr="005B368F">
              <w:rPr>
                <w:rStyle w:val="Hyperlink"/>
                <w:noProof/>
              </w:rPr>
              <w:t>3.1.3</w:t>
            </w:r>
            <w:r w:rsidR="007C6931">
              <w:rPr>
                <w:rFonts w:asciiTheme="minorHAnsi" w:eastAsiaTheme="minorEastAsia" w:hAnsiTheme="minorHAnsi"/>
                <w:noProof/>
                <w:sz w:val="22"/>
                <w:lang w:eastAsia="de-CH"/>
              </w:rPr>
              <w:tab/>
            </w:r>
            <w:r w:rsidR="007C6931" w:rsidRPr="005B368F">
              <w:rPr>
                <w:rStyle w:val="Hyperlink"/>
                <w:noProof/>
              </w:rPr>
              <w:t>Eritrociti-test</w:t>
            </w:r>
            <w:r w:rsidR="007C6931">
              <w:rPr>
                <w:noProof/>
                <w:webHidden/>
              </w:rPr>
              <w:tab/>
            </w:r>
            <w:r w:rsidR="007C6931">
              <w:rPr>
                <w:noProof/>
                <w:webHidden/>
              </w:rPr>
              <w:fldChar w:fldCharType="begin"/>
            </w:r>
            <w:r w:rsidR="007C6931">
              <w:rPr>
                <w:noProof/>
                <w:webHidden/>
              </w:rPr>
              <w:instrText xml:space="preserve"> PAGEREF _Toc161749083 \h </w:instrText>
            </w:r>
            <w:r w:rsidR="007C6931">
              <w:rPr>
                <w:noProof/>
                <w:webHidden/>
              </w:rPr>
            </w:r>
            <w:r w:rsidR="007C6931">
              <w:rPr>
                <w:noProof/>
                <w:webHidden/>
              </w:rPr>
              <w:fldChar w:fldCharType="separate"/>
            </w:r>
            <w:r w:rsidR="007C6931">
              <w:rPr>
                <w:noProof/>
                <w:webHidden/>
              </w:rPr>
              <w:t>13</w:t>
            </w:r>
            <w:r w:rsidR="007C6931">
              <w:rPr>
                <w:noProof/>
                <w:webHidden/>
              </w:rPr>
              <w:fldChar w:fldCharType="end"/>
            </w:r>
          </w:hyperlink>
        </w:p>
        <w:p w14:paraId="32C37D51" w14:textId="06FC96E0"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84" w:history="1">
            <w:r w:rsidR="007C6931" w:rsidRPr="005B368F">
              <w:rPr>
                <w:rStyle w:val="Hyperlink"/>
                <w:noProof/>
              </w:rPr>
              <w:t>3.1.4</w:t>
            </w:r>
            <w:r w:rsidR="007C6931">
              <w:rPr>
                <w:rFonts w:asciiTheme="minorHAnsi" w:eastAsiaTheme="minorEastAsia" w:hAnsiTheme="minorHAnsi"/>
                <w:noProof/>
                <w:sz w:val="22"/>
                <w:lang w:eastAsia="de-CH"/>
              </w:rPr>
              <w:tab/>
            </w:r>
            <w:r w:rsidR="007C6931" w:rsidRPr="005B368F">
              <w:rPr>
                <w:rStyle w:val="Hyperlink"/>
                <w:noProof/>
              </w:rPr>
              <w:t>Sieri-test</w:t>
            </w:r>
            <w:r w:rsidR="007C6931">
              <w:rPr>
                <w:noProof/>
                <w:webHidden/>
              </w:rPr>
              <w:tab/>
            </w:r>
            <w:r w:rsidR="007C6931">
              <w:rPr>
                <w:noProof/>
                <w:webHidden/>
              </w:rPr>
              <w:fldChar w:fldCharType="begin"/>
            </w:r>
            <w:r w:rsidR="007C6931">
              <w:rPr>
                <w:noProof/>
                <w:webHidden/>
              </w:rPr>
              <w:instrText xml:space="preserve"> PAGEREF _Toc161749084 \h </w:instrText>
            </w:r>
            <w:r w:rsidR="007C6931">
              <w:rPr>
                <w:noProof/>
                <w:webHidden/>
              </w:rPr>
            </w:r>
            <w:r w:rsidR="007C6931">
              <w:rPr>
                <w:noProof/>
                <w:webHidden/>
              </w:rPr>
              <w:fldChar w:fldCharType="separate"/>
            </w:r>
            <w:r w:rsidR="007C6931">
              <w:rPr>
                <w:noProof/>
                <w:webHidden/>
              </w:rPr>
              <w:t>13</w:t>
            </w:r>
            <w:r w:rsidR="007C6931">
              <w:rPr>
                <w:noProof/>
                <w:webHidden/>
              </w:rPr>
              <w:fldChar w:fldCharType="end"/>
            </w:r>
          </w:hyperlink>
        </w:p>
        <w:p w14:paraId="10AB58C8" w14:textId="06D1756A" w:rsidR="007C6931" w:rsidRDefault="00654E10">
          <w:pPr>
            <w:pStyle w:val="Verzeichnis2"/>
            <w:rPr>
              <w:rFonts w:asciiTheme="minorHAnsi" w:eastAsiaTheme="minorEastAsia" w:hAnsiTheme="minorHAnsi"/>
              <w:noProof/>
              <w:sz w:val="22"/>
              <w:lang w:eastAsia="de-CH"/>
            </w:rPr>
          </w:pPr>
          <w:hyperlink w:anchor="_Toc161749085" w:history="1">
            <w:r w:rsidR="007C6931" w:rsidRPr="005B368F">
              <w:rPr>
                <w:rStyle w:val="Hyperlink"/>
                <w:noProof/>
              </w:rPr>
              <w:t>3.2</w:t>
            </w:r>
            <w:r w:rsidR="007C6931">
              <w:rPr>
                <w:rFonts w:asciiTheme="minorHAnsi" w:eastAsiaTheme="minorEastAsia" w:hAnsiTheme="minorHAnsi"/>
                <w:noProof/>
                <w:sz w:val="22"/>
                <w:lang w:eastAsia="de-CH"/>
              </w:rPr>
              <w:tab/>
            </w:r>
            <w:r w:rsidR="007C6931" w:rsidRPr="005B368F">
              <w:rPr>
                <w:rStyle w:val="Hyperlink"/>
                <w:noProof/>
              </w:rPr>
              <w:t>Apparecchiature</w:t>
            </w:r>
            <w:r w:rsidR="007C6931">
              <w:rPr>
                <w:noProof/>
                <w:webHidden/>
              </w:rPr>
              <w:tab/>
            </w:r>
            <w:r w:rsidR="007C6931">
              <w:rPr>
                <w:noProof/>
                <w:webHidden/>
              </w:rPr>
              <w:fldChar w:fldCharType="begin"/>
            </w:r>
            <w:r w:rsidR="007C6931">
              <w:rPr>
                <w:noProof/>
                <w:webHidden/>
              </w:rPr>
              <w:instrText xml:space="preserve"> PAGEREF _Toc161749085 \h </w:instrText>
            </w:r>
            <w:r w:rsidR="007C6931">
              <w:rPr>
                <w:noProof/>
                <w:webHidden/>
              </w:rPr>
            </w:r>
            <w:r w:rsidR="007C6931">
              <w:rPr>
                <w:noProof/>
                <w:webHidden/>
              </w:rPr>
              <w:fldChar w:fldCharType="separate"/>
            </w:r>
            <w:r w:rsidR="007C6931">
              <w:rPr>
                <w:noProof/>
                <w:webHidden/>
              </w:rPr>
              <w:t>13</w:t>
            </w:r>
            <w:r w:rsidR="007C6931">
              <w:rPr>
                <w:noProof/>
                <w:webHidden/>
              </w:rPr>
              <w:fldChar w:fldCharType="end"/>
            </w:r>
          </w:hyperlink>
        </w:p>
        <w:p w14:paraId="1879A7A8" w14:textId="559D050A" w:rsidR="007C6931" w:rsidRDefault="00654E10">
          <w:pPr>
            <w:pStyle w:val="Verzeichnis2"/>
            <w:rPr>
              <w:rFonts w:asciiTheme="minorHAnsi" w:eastAsiaTheme="minorEastAsia" w:hAnsiTheme="minorHAnsi"/>
              <w:noProof/>
              <w:sz w:val="22"/>
              <w:lang w:eastAsia="de-CH"/>
            </w:rPr>
          </w:pPr>
          <w:hyperlink w:anchor="_Toc161749086" w:history="1">
            <w:r w:rsidR="007C6931" w:rsidRPr="005B368F">
              <w:rPr>
                <w:rStyle w:val="Hyperlink"/>
                <w:noProof/>
              </w:rPr>
              <w:t>3.3</w:t>
            </w:r>
            <w:r w:rsidR="007C6931">
              <w:rPr>
                <w:rFonts w:asciiTheme="minorHAnsi" w:eastAsiaTheme="minorEastAsia" w:hAnsiTheme="minorHAnsi"/>
                <w:noProof/>
                <w:sz w:val="22"/>
                <w:lang w:eastAsia="de-CH"/>
              </w:rPr>
              <w:tab/>
            </w:r>
            <w:r w:rsidR="007C6931" w:rsidRPr="005B368F">
              <w:rPr>
                <w:rStyle w:val="Hyperlink"/>
                <w:noProof/>
              </w:rPr>
              <w:t>Controlli di qualità</w:t>
            </w:r>
            <w:r w:rsidR="007C6931">
              <w:rPr>
                <w:noProof/>
                <w:webHidden/>
              </w:rPr>
              <w:tab/>
            </w:r>
            <w:r w:rsidR="007C6931">
              <w:rPr>
                <w:noProof/>
                <w:webHidden/>
              </w:rPr>
              <w:fldChar w:fldCharType="begin"/>
            </w:r>
            <w:r w:rsidR="007C6931">
              <w:rPr>
                <w:noProof/>
                <w:webHidden/>
              </w:rPr>
              <w:instrText xml:space="preserve"> PAGEREF _Toc161749086 \h </w:instrText>
            </w:r>
            <w:r w:rsidR="007C6931">
              <w:rPr>
                <w:noProof/>
                <w:webHidden/>
              </w:rPr>
            </w:r>
            <w:r w:rsidR="007C6931">
              <w:rPr>
                <w:noProof/>
                <w:webHidden/>
              </w:rPr>
              <w:fldChar w:fldCharType="separate"/>
            </w:r>
            <w:r w:rsidR="007C6931">
              <w:rPr>
                <w:noProof/>
                <w:webHidden/>
              </w:rPr>
              <w:t>14</w:t>
            </w:r>
            <w:r w:rsidR="007C6931">
              <w:rPr>
                <w:noProof/>
                <w:webHidden/>
              </w:rPr>
              <w:fldChar w:fldCharType="end"/>
            </w:r>
          </w:hyperlink>
        </w:p>
        <w:p w14:paraId="0E2197F3" w14:textId="47BC66B3"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87" w:history="1">
            <w:r w:rsidR="007C6931" w:rsidRPr="005B368F">
              <w:rPr>
                <w:rStyle w:val="Hyperlink"/>
                <w:noProof/>
              </w:rPr>
              <w:t>3.3.1</w:t>
            </w:r>
            <w:r w:rsidR="007C6931">
              <w:rPr>
                <w:rFonts w:asciiTheme="minorHAnsi" w:eastAsiaTheme="minorEastAsia" w:hAnsiTheme="minorHAnsi"/>
                <w:noProof/>
                <w:sz w:val="22"/>
                <w:lang w:eastAsia="de-CH"/>
              </w:rPr>
              <w:tab/>
            </w:r>
            <w:r w:rsidR="007C6931" w:rsidRPr="005B368F">
              <w:rPr>
                <w:rStyle w:val="Hyperlink"/>
                <w:noProof/>
              </w:rPr>
              <w:t xml:space="preserve">Controlli di qualità interni </w:t>
            </w:r>
            <w:r w:rsidR="007C6931" w:rsidRPr="005B368F">
              <w:rPr>
                <w:rStyle w:val="Hyperlink"/>
                <w:rFonts w:cs="Arial"/>
                <w:noProof/>
              </w:rPr>
              <w:t>[9]</w:t>
            </w:r>
            <w:r w:rsidR="007C6931">
              <w:rPr>
                <w:noProof/>
                <w:webHidden/>
              </w:rPr>
              <w:tab/>
            </w:r>
            <w:r w:rsidR="007C6931">
              <w:rPr>
                <w:noProof/>
                <w:webHidden/>
              </w:rPr>
              <w:fldChar w:fldCharType="begin"/>
            </w:r>
            <w:r w:rsidR="007C6931">
              <w:rPr>
                <w:noProof/>
                <w:webHidden/>
              </w:rPr>
              <w:instrText xml:space="preserve"> PAGEREF _Toc161749087 \h </w:instrText>
            </w:r>
            <w:r w:rsidR="007C6931">
              <w:rPr>
                <w:noProof/>
                <w:webHidden/>
              </w:rPr>
            </w:r>
            <w:r w:rsidR="007C6931">
              <w:rPr>
                <w:noProof/>
                <w:webHidden/>
              </w:rPr>
              <w:fldChar w:fldCharType="separate"/>
            </w:r>
            <w:r w:rsidR="007C6931">
              <w:rPr>
                <w:noProof/>
                <w:webHidden/>
              </w:rPr>
              <w:t>14</w:t>
            </w:r>
            <w:r w:rsidR="007C6931">
              <w:rPr>
                <w:noProof/>
                <w:webHidden/>
              </w:rPr>
              <w:fldChar w:fldCharType="end"/>
            </w:r>
          </w:hyperlink>
        </w:p>
        <w:p w14:paraId="39CEF66E" w14:textId="30569129"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88" w:history="1">
            <w:r w:rsidR="007C6931" w:rsidRPr="005B368F">
              <w:rPr>
                <w:rStyle w:val="Hyperlink"/>
                <w:noProof/>
              </w:rPr>
              <w:t>3.3.2</w:t>
            </w:r>
            <w:r w:rsidR="007C6931">
              <w:rPr>
                <w:rFonts w:asciiTheme="minorHAnsi" w:eastAsiaTheme="minorEastAsia" w:hAnsiTheme="minorHAnsi"/>
                <w:noProof/>
                <w:sz w:val="22"/>
                <w:lang w:eastAsia="de-CH"/>
              </w:rPr>
              <w:tab/>
            </w:r>
            <w:r w:rsidR="007C6931" w:rsidRPr="005B368F">
              <w:rPr>
                <w:rStyle w:val="Hyperlink"/>
                <w:noProof/>
              </w:rPr>
              <w:t>Controlli di qualità esterni</w:t>
            </w:r>
            <w:r w:rsidR="007C6931">
              <w:rPr>
                <w:noProof/>
                <w:webHidden/>
              </w:rPr>
              <w:tab/>
            </w:r>
            <w:r w:rsidR="007C6931">
              <w:rPr>
                <w:noProof/>
                <w:webHidden/>
              </w:rPr>
              <w:fldChar w:fldCharType="begin"/>
            </w:r>
            <w:r w:rsidR="007C6931">
              <w:rPr>
                <w:noProof/>
                <w:webHidden/>
              </w:rPr>
              <w:instrText xml:space="preserve"> PAGEREF _Toc161749088 \h </w:instrText>
            </w:r>
            <w:r w:rsidR="007C6931">
              <w:rPr>
                <w:noProof/>
                <w:webHidden/>
              </w:rPr>
            </w:r>
            <w:r w:rsidR="007C6931">
              <w:rPr>
                <w:noProof/>
                <w:webHidden/>
              </w:rPr>
              <w:fldChar w:fldCharType="separate"/>
            </w:r>
            <w:r w:rsidR="007C6931">
              <w:rPr>
                <w:noProof/>
                <w:webHidden/>
              </w:rPr>
              <w:t>15</w:t>
            </w:r>
            <w:r w:rsidR="007C6931">
              <w:rPr>
                <w:noProof/>
                <w:webHidden/>
              </w:rPr>
              <w:fldChar w:fldCharType="end"/>
            </w:r>
          </w:hyperlink>
        </w:p>
        <w:p w14:paraId="53D0B9CB" w14:textId="654B1611" w:rsidR="007C6931" w:rsidRDefault="00654E10">
          <w:pPr>
            <w:pStyle w:val="Verzeichnis1"/>
            <w:tabs>
              <w:tab w:val="left" w:pos="400"/>
              <w:tab w:val="right" w:leader="dot" w:pos="9060"/>
            </w:tabs>
            <w:rPr>
              <w:rFonts w:asciiTheme="minorHAnsi" w:eastAsiaTheme="minorEastAsia" w:hAnsiTheme="minorHAnsi"/>
              <w:b w:val="0"/>
              <w:noProof/>
              <w:sz w:val="22"/>
              <w:lang w:eastAsia="de-CH"/>
            </w:rPr>
          </w:pPr>
          <w:hyperlink w:anchor="_Toc161749089" w:history="1">
            <w:r w:rsidR="007C6931" w:rsidRPr="005B368F">
              <w:rPr>
                <w:rStyle w:val="Hyperlink"/>
                <w:noProof/>
              </w:rPr>
              <w:t>4</w:t>
            </w:r>
            <w:r w:rsidR="007C6931">
              <w:rPr>
                <w:rFonts w:asciiTheme="minorHAnsi" w:eastAsiaTheme="minorEastAsia" w:hAnsiTheme="minorHAnsi"/>
                <w:b w:val="0"/>
                <w:noProof/>
                <w:sz w:val="22"/>
                <w:lang w:eastAsia="de-CH"/>
              </w:rPr>
              <w:tab/>
            </w:r>
            <w:r w:rsidR="007C6931" w:rsidRPr="005B368F">
              <w:rPr>
                <w:rStyle w:val="Hyperlink"/>
                <w:noProof/>
              </w:rPr>
              <w:t xml:space="preserve">Preanalitica </w:t>
            </w:r>
            <w:r w:rsidR="007C6931" w:rsidRPr="005B368F">
              <w:rPr>
                <w:rStyle w:val="Hyperlink"/>
                <w:rFonts w:cs="Arial"/>
                <w:noProof/>
              </w:rPr>
              <w:t>[9], [10], [12]</w:t>
            </w:r>
            <w:r w:rsidR="007C6931">
              <w:rPr>
                <w:noProof/>
                <w:webHidden/>
              </w:rPr>
              <w:tab/>
            </w:r>
            <w:r w:rsidR="007C6931">
              <w:rPr>
                <w:noProof/>
                <w:webHidden/>
              </w:rPr>
              <w:fldChar w:fldCharType="begin"/>
            </w:r>
            <w:r w:rsidR="007C6931">
              <w:rPr>
                <w:noProof/>
                <w:webHidden/>
              </w:rPr>
              <w:instrText xml:space="preserve"> PAGEREF _Toc161749089 \h </w:instrText>
            </w:r>
            <w:r w:rsidR="007C6931">
              <w:rPr>
                <w:noProof/>
                <w:webHidden/>
              </w:rPr>
            </w:r>
            <w:r w:rsidR="007C6931">
              <w:rPr>
                <w:noProof/>
                <w:webHidden/>
              </w:rPr>
              <w:fldChar w:fldCharType="separate"/>
            </w:r>
            <w:r w:rsidR="007C6931">
              <w:rPr>
                <w:noProof/>
                <w:webHidden/>
              </w:rPr>
              <w:t>16</w:t>
            </w:r>
            <w:r w:rsidR="007C6931">
              <w:rPr>
                <w:noProof/>
                <w:webHidden/>
              </w:rPr>
              <w:fldChar w:fldCharType="end"/>
            </w:r>
          </w:hyperlink>
        </w:p>
        <w:p w14:paraId="097486CD" w14:textId="6E0F2CC1" w:rsidR="007C6931" w:rsidRDefault="00654E10">
          <w:pPr>
            <w:pStyle w:val="Verzeichnis2"/>
            <w:rPr>
              <w:rFonts w:asciiTheme="minorHAnsi" w:eastAsiaTheme="minorEastAsia" w:hAnsiTheme="minorHAnsi"/>
              <w:noProof/>
              <w:sz w:val="22"/>
              <w:lang w:eastAsia="de-CH"/>
            </w:rPr>
          </w:pPr>
          <w:hyperlink w:anchor="_Toc161749090" w:history="1">
            <w:r w:rsidR="007C6931" w:rsidRPr="005B368F">
              <w:rPr>
                <w:rStyle w:val="Hyperlink"/>
                <w:noProof/>
              </w:rPr>
              <w:t>4.1</w:t>
            </w:r>
            <w:r w:rsidR="007C6931">
              <w:rPr>
                <w:rFonts w:asciiTheme="minorHAnsi" w:eastAsiaTheme="minorEastAsia" w:hAnsiTheme="minorHAnsi"/>
                <w:noProof/>
                <w:sz w:val="22"/>
                <w:lang w:eastAsia="de-CH"/>
              </w:rPr>
              <w:tab/>
            </w:r>
            <w:r w:rsidR="007C6931" w:rsidRPr="005B368F">
              <w:rPr>
                <w:rStyle w:val="Hyperlink"/>
                <w:noProof/>
              </w:rPr>
              <w:t>Prelievo di campioni e identificazione</w:t>
            </w:r>
            <w:r w:rsidR="007C6931">
              <w:rPr>
                <w:noProof/>
                <w:webHidden/>
              </w:rPr>
              <w:tab/>
            </w:r>
            <w:r w:rsidR="007C6931">
              <w:rPr>
                <w:noProof/>
                <w:webHidden/>
              </w:rPr>
              <w:fldChar w:fldCharType="begin"/>
            </w:r>
            <w:r w:rsidR="007C6931">
              <w:rPr>
                <w:noProof/>
                <w:webHidden/>
              </w:rPr>
              <w:instrText xml:space="preserve"> PAGEREF _Toc161749090 \h </w:instrText>
            </w:r>
            <w:r w:rsidR="007C6931">
              <w:rPr>
                <w:noProof/>
                <w:webHidden/>
              </w:rPr>
            </w:r>
            <w:r w:rsidR="007C6931">
              <w:rPr>
                <w:noProof/>
                <w:webHidden/>
              </w:rPr>
              <w:fldChar w:fldCharType="separate"/>
            </w:r>
            <w:r w:rsidR="007C6931">
              <w:rPr>
                <w:noProof/>
                <w:webHidden/>
              </w:rPr>
              <w:t>16</w:t>
            </w:r>
            <w:r w:rsidR="007C6931">
              <w:rPr>
                <w:noProof/>
                <w:webHidden/>
              </w:rPr>
              <w:fldChar w:fldCharType="end"/>
            </w:r>
          </w:hyperlink>
        </w:p>
        <w:p w14:paraId="56642915" w14:textId="4DA454F2" w:rsidR="007C6931" w:rsidRDefault="00654E10">
          <w:pPr>
            <w:pStyle w:val="Verzeichnis2"/>
            <w:rPr>
              <w:rFonts w:asciiTheme="minorHAnsi" w:eastAsiaTheme="minorEastAsia" w:hAnsiTheme="minorHAnsi"/>
              <w:noProof/>
              <w:sz w:val="22"/>
              <w:lang w:eastAsia="de-CH"/>
            </w:rPr>
          </w:pPr>
          <w:hyperlink w:anchor="_Toc161749091" w:history="1">
            <w:r w:rsidR="007C6931" w:rsidRPr="005B368F">
              <w:rPr>
                <w:rStyle w:val="Hyperlink"/>
                <w:noProof/>
              </w:rPr>
              <w:t>4.2</w:t>
            </w:r>
            <w:r w:rsidR="007C6931">
              <w:rPr>
                <w:rFonts w:asciiTheme="minorHAnsi" w:eastAsiaTheme="minorEastAsia" w:hAnsiTheme="minorHAnsi"/>
                <w:noProof/>
                <w:sz w:val="22"/>
                <w:lang w:eastAsia="de-CH"/>
              </w:rPr>
              <w:tab/>
            </w:r>
            <w:r w:rsidR="007C6931" w:rsidRPr="005B368F">
              <w:rPr>
                <w:rStyle w:val="Hyperlink"/>
                <w:noProof/>
              </w:rPr>
              <w:t>Requisiti pretrasfusionali</w:t>
            </w:r>
            <w:r w:rsidR="007C6931">
              <w:rPr>
                <w:noProof/>
                <w:webHidden/>
              </w:rPr>
              <w:tab/>
            </w:r>
            <w:r w:rsidR="007C6931">
              <w:rPr>
                <w:noProof/>
                <w:webHidden/>
              </w:rPr>
              <w:fldChar w:fldCharType="begin"/>
            </w:r>
            <w:r w:rsidR="007C6931">
              <w:rPr>
                <w:noProof/>
                <w:webHidden/>
              </w:rPr>
              <w:instrText xml:space="preserve"> PAGEREF _Toc161749091 \h </w:instrText>
            </w:r>
            <w:r w:rsidR="007C6931">
              <w:rPr>
                <w:noProof/>
                <w:webHidden/>
              </w:rPr>
            </w:r>
            <w:r w:rsidR="007C6931">
              <w:rPr>
                <w:noProof/>
                <w:webHidden/>
              </w:rPr>
              <w:fldChar w:fldCharType="separate"/>
            </w:r>
            <w:r w:rsidR="007C6931">
              <w:rPr>
                <w:noProof/>
                <w:webHidden/>
              </w:rPr>
              <w:t>16</w:t>
            </w:r>
            <w:r w:rsidR="007C6931">
              <w:rPr>
                <w:noProof/>
                <w:webHidden/>
              </w:rPr>
              <w:fldChar w:fldCharType="end"/>
            </w:r>
          </w:hyperlink>
        </w:p>
        <w:p w14:paraId="5B88F6D3" w14:textId="77DB41D3"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92" w:history="1">
            <w:r w:rsidR="007C6931" w:rsidRPr="005B368F">
              <w:rPr>
                <w:rStyle w:val="Hyperlink"/>
                <w:noProof/>
              </w:rPr>
              <w:t>4.2.1</w:t>
            </w:r>
            <w:r w:rsidR="007C6931">
              <w:rPr>
                <w:rFonts w:asciiTheme="minorHAnsi" w:eastAsiaTheme="minorEastAsia" w:hAnsiTheme="minorHAnsi"/>
                <w:noProof/>
                <w:sz w:val="22"/>
                <w:lang w:eastAsia="de-CH"/>
              </w:rPr>
              <w:tab/>
            </w:r>
            <w:r w:rsidR="007C6931" w:rsidRPr="005B368F">
              <w:rPr>
                <w:rStyle w:val="Hyperlink"/>
                <w:noProof/>
              </w:rPr>
              <w:t>Gruppo sanguigno ABO/RH1</w:t>
            </w:r>
            <w:r w:rsidR="007C6931">
              <w:rPr>
                <w:noProof/>
                <w:webHidden/>
              </w:rPr>
              <w:tab/>
            </w:r>
            <w:r w:rsidR="007C6931">
              <w:rPr>
                <w:noProof/>
                <w:webHidden/>
              </w:rPr>
              <w:fldChar w:fldCharType="begin"/>
            </w:r>
            <w:r w:rsidR="007C6931">
              <w:rPr>
                <w:noProof/>
                <w:webHidden/>
              </w:rPr>
              <w:instrText xml:space="preserve"> PAGEREF _Toc161749092 \h </w:instrText>
            </w:r>
            <w:r w:rsidR="007C6931">
              <w:rPr>
                <w:noProof/>
                <w:webHidden/>
              </w:rPr>
            </w:r>
            <w:r w:rsidR="007C6931">
              <w:rPr>
                <w:noProof/>
                <w:webHidden/>
              </w:rPr>
              <w:fldChar w:fldCharType="separate"/>
            </w:r>
            <w:r w:rsidR="007C6931">
              <w:rPr>
                <w:noProof/>
                <w:webHidden/>
              </w:rPr>
              <w:t>16</w:t>
            </w:r>
            <w:r w:rsidR="007C6931">
              <w:rPr>
                <w:noProof/>
                <w:webHidden/>
              </w:rPr>
              <w:fldChar w:fldCharType="end"/>
            </w:r>
          </w:hyperlink>
        </w:p>
        <w:p w14:paraId="3071E195" w14:textId="447B228F"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93" w:history="1">
            <w:r w:rsidR="007C6931" w:rsidRPr="005B368F">
              <w:rPr>
                <w:rStyle w:val="Hyperlink"/>
                <w:noProof/>
              </w:rPr>
              <w:t>4.2.2</w:t>
            </w:r>
            <w:r w:rsidR="007C6931">
              <w:rPr>
                <w:rFonts w:asciiTheme="minorHAnsi" w:eastAsiaTheme="minorEastAsia" w:hAnsiTheme="minorHAnsi"/>
                <w:noProof/>
                <w:sz w:val="22"/>
                <w:lang w:eastAsia="de-CH"/>
              </w:rPr>
              <w:tab/>
            </w:r>
            <w:r w:rsidR="007C6931" w:rsidRPr="005B368F">
              <w:rPr>
                <w:rStyle w:val="Hyperlink"/>
                <w:noProof/>
              </w:rPr>
              <w:t>Ricerca anticorpi</w:t>
            </w:r>
            <w:r w:rsidR="007C6931">
              <w:rPr>
                <w:noProof/>
                <w:webHidden/>
              </w:rPr>
              <w:tab/>
            </w:r>
            <w:r w:rsidR="007C6931">
              <w:rPr>
                <w:noProof/>
                <w:webHidden/>
              </w:rPr>
              <w:fldChar w:fldCharType="begin"/>
            </w:r>
            <w:r w:rsidR="007C6931">
              <w:rPr>
                <w:noProof/>
                <w:webHidden/>
              </w:rPr>
              <w:instrText xml:space="preserve"> PAGEREF _Toc161749093 \h </w:instrText>
            </w:r>
            <w:r w:rsidR="007C6931">
              <w:rPr>
                <w:noProof/>
                <w:webHidden/>
              </w:rPr>
            </w:r>
            <w:r w:rsidR="007C6931">
              <w:rPr>
                <w:noProof/>
                <w:webHidden/>
              </w:rPr>
              <w:fldChar w:fldCharType="separate"/>
            </w:r>
            <w:r w:rsidR="007C6931">
              <w:rPr>
                <w:noProof/>
                <w:webHidden/>
              </w:rPr>
              <w:t>17</w:t>
            </w:r>
            <w:r w:rsidR="007C6931">
              <w:rPr>
                <w:noProof/>
                <w:webHidden/>
              </w:rPr>
              <w:fldChar w:fldCharType="end"/>
            </w:r>
          </w:hyperlink>
        </w:p>
        <w:p w14:paraId="1BE7DE4F" w14:textId="4227FBE0" w:rsidR="007C6931" w:rsidRDefault="00654E10">
          <w:pPr>
            <w:pStyle w:val="Verzeichnis2"/>
            <w:rPr>
              <w:rFonts w:asciiTheme="minorHAnsi" w:eastAsiaTheme="minorEastAsia" w:hAnsiTheme="minorHAnsi"/>
              <w:noProof/>
              <w:sz w:val="22"/>
              <w:lang w:eastAsia="de-CH"/>
            </w:rPr>
          </w:pPr>
          <w:hyperlink w:anchor="_Toc161749094" w:history="1">
            <w:r w:rsidR="007C6931" w:rsidRPr="005B368F">
              <w:rPr>
                <w:rStyle w:val="Hyperlink"/>
                <w:noProof/>
              </w:rPr>
              <w:t>4.3</w:t>
            </w:r>
            <w:r w:rsidR="007C6931">
              <w:rPr>
                <w:rFonts w:asciiTheme="minorHAnsi" w:eastAsiaTheme="minorEastAsia" w:hAnsiTheme="minorHAnsi"/>
                <w:noProof/>
                <w:sz w:val="22"/>
                <w:lang w:eastAsia="de-CH"/>
              </w:rPr>
              <w:tab/>
            </w:r>
            <w:r w:rsidR="007C6931" w:rsidRPr="005B368F">
              <w:rPr>
                <w:rStyle w:val="Hyperlink"/>
                <w:noProof/>
              </w:rPr>
              <w:t>Validità del materiale del campione e risultati delle analisi pretrasfusionali</w:t>
            </w:r>
            <w:r w:rsidR="007C6931">
              <w:rPr>
                <w:noProof/>
                <w:webHidden/>
              </w:rPr>
              <w:tab/>
            </w:r>
            <w:r w:rsidR="007C6931">
              <w:rPr>
                <w:noProof/>
                <w:webHidden/>
              </w:rPr>
              <w:fldChar w:fldCharType="begin"/>
            </w:r>
            <w:r w:rsidR="007C6931">
              <w:rPr>
                <w:noProof/>
                <w:webHidden/>
              </w:rPr>
              <w:instrText xml:space="preserve"> PAGEREF _Toc161749094 \h </w:instrText>
            </w:r>
            <w:r w:rsidR="007C6931">
              <w:rPr>
                <w:noProof/>
                <w:webHidden/>
              </w:rPr>
            </w:r>
            <w:r w:rsidR="007C6931">
              <w:rPr>
                <w:noProof/>
                <w:webHidden/>
              </w:rPr>
              <w:fldChar w:fldCharType="separate"/>
            </w:r>
            <w:r w:rsidR="007C6931">
              <w:rPr>
                <w:noProof/>
                <w:webHidden/>
              </w:rPr>
              <w:t>17</w:t>
            </w:r>
            <w:r w:rsidR="007C6931">
              <w:rPr>
                <w:noProof/>
                <w:webHidden/>
              </w:rPr>
              <w:fldChar w:fldCharType="end"/>
            </w:r>
          </w:hyperlink>
        </w:p>
        <w:p w14:paraId="294833A0" w14:textId="165982BB" w:rsidR="007C6931" w:rsidRDefault="00654E10">
          <w:pPr>
            <w:pStyle w:val="Verzeichnis1"/>
            <w:tabs>
              <w:tab w:val="left" w:pos="400"/>
              <w:tab w:val="right" w:leader="dot" w:pos="9060"/>
            </w:tabs>
            <w:rPr>
              <w:rFonts w:asciiTheme="minorHAnsi" w:eastAsiaTheme="minorEastAsia" w:hAnsiTheme="minorHAnsi"/>
              <w:b w:val="0"/>
              <w:noProof/>
              <w:sz w:val="22"/>
              <w:lang w:eastAsia="de-CH"/>
            </w:rPr>
          </w:pPr>
          <w:hyperlink w:anchor="_Toc161749095" w:history="1">
            <w:r w:rsidR="007C6931" w:rsidRPr="005B368F">
              <w:rPr>
                <w:rStyle w:val="Hyperlink"/>
                <w:noProof/>
              </w:rPr>
              <w:t>5</w:t>
            </w:r>
            <w:r w:rsidR="007C6931">
              <w:rPr>
                <w:rFonts w:asciiTheme="minorHAnsi" w:eastAsiaTheme="minorEastAsia" w:hAnsiTheme="minorHAnsi"/>
                <w:b w:val="0"/>
                <w:noProof/>
                <w:sz w:val="22"/>
                <w:lang w:eastAsia="de-CH"/>
              </w:rPr>
              <w:tab/>
            </w:r>
            <w:r w:rsidR="007C6931" w:rsidRPr="005B368F">
              <w:rPr>
                <w:rStyle w:val="Hyperlink"/>
                <w:noProof/>
              </w:rPr>
              <w:t xml:space="preserve">Analisi immunoematologiche </w:t>
            </w:r>
            <w:r w:rsidR="007C6931" w:rsidRPr="005B368F">
              <w:rPr>
                <w:rStyle w:val="Hyperlink"/>
                <w:rFonts w:cs="Arial"/>
                <w:noProof/>
              </w:rPr>
              <w:t>[9], [12], [13], [14]</w:t>
            </w:r>
            <w:r w:rsidR="007C6931">
              <w:rPr>
                <w:noProof/>
                <w:webHidden/>
              </w:rPr>
              <w:tab/>
            </w:r>
            <w:r w:rsidR="007C6931">
              <w:rPr>
                <w:noProof/>
                <w:webHidden/>
              </w:rPr>
              <w:fldChar w:fldCharType="begin"/>
            </w:r>
            <w:r w:rsidR="007C6931">
              <w:rPr>
                <w:noProof/>
                <w:webHidden/>
              </w:rPr>
              <w:instrText xml:space="preserve"> PAGEREF _Toc161749095 \h </w:instrText>
            </w:r>
            <w:r w:rsidR="007C6931">
              <w:rPr>
                <w:noProof/>
                <w:webHidden/>
              </w:rPr>
            </w:r>
            <w:r w:rsidR="007C6931">
              <w:rPr>
                <w:noProof/>
                <w:webHidden/>
              </w:rPr>
              <w:fldChar w:fldCharType="separate"/>
            </w:r>
            <w:r w:rsidR="007C6931">
              <w:rPr>
                <w:noProof/>
                <w:webHidden/>
              </w:rPr>
              <w:t>18</w:t>
            </w:r>
            <w:r w:rsidR="007C6931">
              <w:rPr>
                <w:noProof/>
                <w:webHidden/>
              </w:rPr>
              <w:fldChar w:fldCharType="end"/>
            </w:r>
          </w:hyperlink>
        </w:p>
        <w:p w14:paraId="51F13A12" w14:textId="74CD246A" w:rsidR="007C6931" w:rsidRDefault="00654E10">
          <w:pPr>
            <w:pStyle w:val="Verzeichnis2"/>
            <w:rPr>
              <w:rFonts w:asciiTheme="minorHAnsi" w:eastAsiaTheme="minorEastAsia" w:hAnsiTheme="minorHAnsi"/>
              <w:noProof/>
              <w:sz w:val="22"/>
              <w:lang w:eastAsia="de-CH"/>
            </w:rPr>
          </w:pPr>
          <w:hyperlink w:anchor="_Toc161749096" w:history="1">
            <w:r w:rsidR="007C6931" w:rsidRPr="005B368F">
              <w:rPr>
                <w:rStyle w:val="Hyperlink"/>
                <w:noProof/>
              </w:rPr>
              <w:t>5.1</w:t>
            </w:r>
            <w:r w:rsidR="007C6931">
              <w:rPr>
                <w:rFonts w:asciiTheme="minorHAnsi" w:eastAsiaTheme="minorEastAsia" w:hAnsiTheme="minorHAnsi"/>
                <w:noProof/>
                <w:sz w:val="22"/>
                <w:lang w:eastAsia="de-CH"/>
              </w:rPr>
              <w:tab/>
            </w:r>
            <w:r w:rsidR="007C6931" w:rsidRPr="005B368F">
              <w:rPr>
                <w:rStyle w:val="Hyperlink"/>
                <w:noProof/>
              </w:rPr>
              <w:t>Determinazione dei gruppi sanguigni ABO e RH1</w:t>
            </w:r>
            <w:r w:rsidR="007C6931">
              <w:rPr>
                <w:noProof/>
                <w:webHidden/>
              </w:rPr>
              <w:tab/>
            </w:r>
            <w:r w:rsidR="007C6931">
              <w:rPr>
                <w:noProof/>
                <w:webHidden/>
              </w:rPr>
              <w:fldChar w:fldCharType="begin"/>
            </w:r>
            <w:r w:rsidR="007C6931">
              <w:rPr>
                <w:noProof/>
                <w:webHidden/>
              </w:rPr>
              <w:instrText xml:space="preserve"> PAGEREF _Toc161749096 \h </w:instrText>
            </w:r>
            <w:r w:rsidR="007C6931">
              <w:rPr>
                <w:noProof/>
                <w:webHidden/>
              </w:rPr>
            </w:r>
            <w:r w:rsidR="007C6931">
              <w:rPr>
                <w:noProof/>
                <w:webHidden/>
              </w:rPr>
              <w:fldChar w:fldCharType="separate"/>
            </w:r>
            <w:r w:rsidR="007C6931">
              <w:rPr>
                <w:noProof/>
                <w:webHidden/>
              </w:rPr>
              <w:t>18</w:t>
            </w:r>
            <w:r w:rsidR="007C6931">
              <w:rPr>
                <w:noProof/>
                <w:webHidden/>
              </w:rPr>
              <w:fldChar w:fldCharType="end"/>
            </w:r>
          </w:hyperlink>
        </w:p>
        <w:p w14:paraId="2E4DA02E" w14:textId="761E2A72"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97" w:history="1">
            <w:r w:rsidR="007C6931" w:rsidRPr="005B368F">
              <w:rPr>
                <w:rStyle w:val="Hyperlink"/>
                <w:noProof/>
              </w:rPr>
              <w:t>5.1.1</w:t>
            </w:r>
            <w:r w:rsidR="007C6931">
              <w:rPr>
                <w:rFonts w:asciiTheme="minorHAnsi" w:eastAsiaTheme="minorEastAsia" w:hAnsiTheme="minorHAnsi"/>
                <w:noProof/>
                <w:sz w:val="22"/>
                <w:lang w:eastAsia="de-CH"/>
              </w:rPr>
              <w:tab/>
            </w:r>
            <w:r w:rsidR="007C6931" w:rsidRPr="005B368F">
              <w:rPr>
                <w:rStyle w:val="Hyperlink"/>
                <w:noProof/>
              </w:rPr>
              <w:t>Determinazione completa dei gruppi sanguigni ABO/RH1</w:t>
            </w:r>
            <w:r w:rsidR="007C6931">
              <w:rPr>
                <w:noProof/>
                <w:webHidden/>
              </w:rPr>
              <w:tab/>
            </w:r>
            <w:r w:rsidR="007C6931">
              <w:rPr>
                <w:noProof/>
                <w:webHidden/>
              </w:rPr>
              <w:fldChar w:fldCharType="begin"/>
            </w:r>
            <w:r w:rsidR="007C6931">
              <w:rPr>
                <w:noProof/>
                <w:webHidden/>
              </w:rPr>
              <w:instrText xml:space="preserve"> PAGEREF _Toc161749097 \h </w:instrText>
            </w:r>
            <w:r w:rsidR="007C6931">
              <w:rPr>
                <w:noProof/>
                <w:webHidden/>
              </w:rPr>
            </w:r>
            <w:r w:rsidR="007C6931">
              <w:rPr>
                <w:noProof/>
                <w:webHidden/>
              </w:rPr>
              <w:fldChar w:fldCharType="separate"/>
            </w:r>
            <w:r w:rsidR="007C6931">
              <w:rPr>
                <w:noProof/>
                <w:webHidden/>
              </w:rPr>
              <w:t>18</w:t>
            </w:r>
            <w:r w:rsidR="007C6931">
              <w:rPr>
                <w:noProof/>
                <w:webHidden/>
              </w:rPr>
              <w:fldChar w:fldCharType="end"/>
            </w:r>
          </w:hyperlink>
        </w:p>
        <w:p w14:paraId="7306BDCE" w14:textId="4F721665"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98" w:history="1">
            <w:r w:rsidR="007C6931" w:rsidRPr="005B368F">
              <w:rPr>
                <w:rStyle w:val="Hyperlink"/>
                <w:noProof/>
              </w:rPr>
              <w:t>5.1.2</w:t>
            </w:r>
            <w:r w:rsidR="007C6931">
              <w:rPr>
                <w:rFonts w:asciiTheme="minorHAnsi" w:eastAsiaTheme="minorEastAsia" w:hAnsiTheme="minorHAnsi"/>
                <w:noProof/>
                <w:sz w:val="22"/>
                <w:lang w:eastAsia="de-CH"/>
              </w:rPr>
              <w:tab/>
            </w:r>
            <w:r w:rsidR="007C6931" w:rsidRPr="005B368F">
              <w:rPr>
                <w:rStyle w:val="Hyperlink"/>
                <w:noProof/>
              </w:rPr>
              <w:t>Risultati e interpretazione della determinazione del gruppo sanguigno ABO</w:t>
            </w:r>
            <w:r w:rsidR="007C6931">
              <w:rPr>
                <w:noProof/>
                <w:webHidden/>
              </w:rPr>
              <w:tab/>
            </w:r>
            <w:r w:rsidR="007C6931">
              <w:rPr>
                <w:noProof/>
                <w:webHidden/>
              </w:rPr>
              <w:fldChar w:fldCharType="begin"/>
            </w:r>
            <w:r w:rsidR="007C6931">
              <w:rPr>
                <w:noProof/>
                <w:webHidden/>
              </w:rPr>
              <w:instrText xml:space="preserve"> PAGEREF _Toc161749098 \h </w:instrText>
            </w:r>
            <w:r w:rsidR="007C6931">
              <w:rPr>
                <w:noProof/>
                <w:webHidden/>
              </w:rPr>
            </w:r>
            <w:r w:rsidR="007C6931">
              <w:rPr>
                <w:noProof/>
                <w:webHidden/>
              </w:rPr>
              <w:fldChar w:fldCharType="separate"/>
            </w:r>
            <w:r w:rsidR="007C6931">
              <w:rPr>
                <w:noProof/>
                <w:webHidden/>
              </w:rPr>
              <w:t>18</w:t>
            </w:r>
            <w:r w:rsidR="007C6931">
              <w:rPr>
                <w:noProof/>
                <w:webHidden/>
              </w:rPr>
              <w:fldChar w:fldCharType="end"/>
            </w:r>
          </w:hyperlink>
        </w:p>
        <w:p w14:paraId="64AC7168" w14:textId="2BE89C31"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099" w:history="1">
            <w:r w:rsidR="007C6931" w:rsidRPr="005B368F">
              <w:rPr>
                <w:rStyle w:val="Hyperlink"/>
                <w:noProof/>
              </w:rPr>
              <w:t>5.1.3</w:t>
            </w:r>
            <w:r w:rsidR="007C6931">
              <w:rPr>
                <w:rFonts w:asciiTheme="minorHAnsi" w:eastAsiaTheme="minorEastAsia" w:hAnsiTheme="minorHAnsi"/>
                <w:noProof/>
                <w:sz w:val="22"/>
                <w:lang w:eastAsia="de-CH"/>
              </w:rPr>
              <w:tab/>
            </w:r>
            <w:r w:rsidR="007C6931" w:rsidRPr="005B368F">
              <w:rPr>
                <w:rStyle w:val="Hyperlink"/>
                <w:noProof/>
              </w:rPr>
              <w:t>Risultato e interpretazione della determinazione dell’antigene RH1</w:t>
            </w:r>
            <w:r w:rsidR="007C6931">
              <w:rPr>
                <w:noProof/>
                <w:webHidden/>
              </w:rPr>
              <w:tab/>
            </w:r>
            <w:r w:rsidR="007C6931">
              <w:rPr>
                <w:noProof/>
                <w:webHidden/>
              </w:rPr>
              <w:fldChar w:fldCharType="begin"/>
            </w:r>
            <w:r w:rsidR="007C6931">
              <w:rPr>
                <w:noProof/>
                <w:webHidden/>
              </w:rPr>
              <w:instrText xml:space="preserve"> PAGEREF _Toc161749099 \h </w:instrText>
            </w:r>
            <w:r w:rsidR="007C6931">
              <w:rPr>
                <w:noProof/>
                <w:webHidden/>
              </w:rPr>
            </w:r>
            <w:r w:rsidR="007C6931">
              <w:rPr>
                <w:noProof/>
                <w:webHidden/>
              </w:rPr>
              <w:fldChar w:fldCharType="separate"/>
            </w:r>
            <w:r w:rsidR="007C6931">
              <w:rPr>
                <w:noProof/>
                <w:webHidden/>
              </w:rPr>
              <w:t>18</w:t>
            </w:r>
            <w:r w:rsidR="007C6931">
              <w:rPr>
                <w:noProof/>
                <w:webHidden/>
              </w:rPr>
              <w:fldChar w:fldCharType="end"/>
            </w:r>
          </w:hyperlink>
        </w:p>
        <w:p w14:paraId="4687A070" w14:textId="2B7C85E3"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00" w:history="1">
            <w:r w:rsidR="007C6931" w:rsidRPr="005B368F">
              <w:rPr>
                <w:rStyle w:val="Hyperlink"/>
                <w:noProof/>
              </w:rPr>
              <w:t>5.1.4</w:t>
            </w:r>
            <w:r w:rsidR="007C6931">
              <w:rPr>
                <w:rFonts w:asciiTheme="minorHAnsi" w:eastAsiaTheme="minorEastAsia" w:hAnsiTheme="minorHAnsi"/>
                <w:noProof/>
                <w:sz w:val="22"/>
                <w:lang w:eastAsia="de-CH"/>
              </w:rPr>
              <w:tab/>
            </w:r>
            <w:r w:rsidR="007C6931" w:rsidRPr="005B368F">
              <w:rPr>
                <w:rStyle w:val="Hyperlink"/>
                <w:noProof/>
              </w:rPr>
              <w:t>Controllo antigeni AB/RH1</w:t>
            </w:r>
            <w:r w:rsidR="007C6931">
              <w:rPr>
                <w:noProof/>
                <w:webHidden/>
              </w:rPr>
              <w:tab/>
            </w:r>
            <w:r w:rsidR="007C6931">
              <w:rPr>
                <w:noProof/>
                <w:webHidden/>
              </w:rPr>
              <w:fldChar w:fldCharType="begin"/>
            </w:r>
            <w:r w:rsidR="007C6931">
              <w:rPr>
                <w:noProof/>
                <w:webHidden/>
              </w:rPr>
              <w:instrText xml:space="preserve"> PAGEREF _Toc161749100 \h </w:instrText>
            </w:r>
            <w:r w:rsidR="007C6931">
              <w:rPr>
                <w:noProof/>
                <w:webHidden/>
              </w:rPr>
            </w:r>
            <w:r w:rsidR="007C6931">
              <w:rPr>
                <w:noProof/>
                <w:webHidden/>
              </w:rPr>
              <w:fldChar w:fldCharType="separate"/>
            </w:r>
            <w:r w:rsidR="007C6931">
              <w:rPr>
                <w:noProof/>
                <w:webHidden/>
              </w:rPr>
              <w:t>19</w:t>
            </w:r>
            <w:r w:rsidR="007C6931">
              <w:rPr>
                <w:noProof/>
                <w:webHidden/>
              </w:rPr>
              <w:fldChar w:fldCharType="end"/>
            </w:r>
          </w:hyperlink>
        </w:p>
        <w:p w14:paraId="5C22B39D" w14:textId="72876710"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01" w:history="1">
            <w:r w:rsidR="007C6931" w:rsidRPr="005B368F">
              <w:rPr>
                <w:rStyle w:val="Hyperlink"/>
                <w:noProof/>
              </w:rPr>
              <w:t>5.1.5</w:t>
            </w:r>
            <w:r w:rsidR="007C6931">
              <w:rPr>
                <w:rFonts w:asciiTheme="minorHAnsi" w:eastAsiaTheme="minorEastAsia" w:hAnsiTheme="minorHAnsi"/>
                <w:noProof/>
                <w:sz w:val="22"/>
                <w:lang w:eastAsia="de-CH"/>
              </w:rPr>
              <w:tab/>
            </w:r>
            <w:r w:rsidR="007C6931" w:rsidRPr="005B368F">
              <w:rPr>
                <w:rStyle w:val="Hyperlink"/>
                <w:noProof/>
              </w:rPr>
              <w:t>Risultato e interpretazione del controllo antigeni AB/RH1</w:t>
            </w:r>
            <w:r w:rsidR="007C6931">
              <w:rPr>
                <w:noProof/>
                <w:webHidden/>
              </w:rPr>
              <w:tab/>
            </w:r>
            <w:r w:rsidR="007C6931">
              <w:rPr>
                <w:noProof/>
                <w:webHidden/>
              </w:rPr>
              <w:fldChar w:fldCharType="begin"/>
            </w:r>
            <w:r w:rsidR="007C6931">
              <w:rPr>
                <w:noProof/>
                <w:webHidden/>
              </w:rPr>
              <w:instrText xml:space="preserve"> PAGEREF _Toc161749101 \h </w:instrText>
            </w:r>
            <w:r w:rsidR="007C6931">
              <w:rPr>
                <w:noProof/>
                <w:webHidden/>
              </w:rPr>
            </w:r>
            <w:r w:rsidR="007C6931">
              <w:rPr>
                <w:noProof/>
                <w:webHidden/>
              </w:rPr>
              <w:fldChar w:fldCharType="separate"/>
            </w:r>
            <w:r w:rsidR="007C6931">
              <w:rPr>
                <w:noProof/>
                <w:webHidden/>
              </w:rPr>
              <w:t>19</w:t>
            </w:r>
            <w:r w:rsidR="007C6931">
              <w:rPr>
                <w:noProof/>
                <w:webHidden/>
              </w:rPr>
              <w:fldChar w:fldCharType="end"/>
            </w:r>
          </w:hyperlink>
        </w:p>
        <w:p w14:paraId="3A518074" w14:textId="267EADE5" w:rsidR="007C6931" w:rsidRDefault="00654E10">
          <w:pPr>
            <w:pStyle w:val="Verzeichnis2"/>
            <w:rPr>
              <w:rFonts w:asciiTheme="minorHAnsi" w:eastAsiaTheme="minorEastAsia" w:hAnsiTheme="minorHAnsi"/>
              <w:noProof/>
              <w:sz w:val="22"/>
              <w:lang w:eastAsia="de-CH"/>
            </w:rPr>
          </w:pPr>
          <w:hyperlink w:anchor="_Toc161749102" w:history="1">
            <w:r w:rsidR="007C6931" w:rsidRPr="005B368F">
              <w:rPr>
                <w:rStyle w:val="Hyperlink"/>
                <w:noProof/>
              </w:rPr>
              <w:t>5.2</w:t>
            </w:r>
            <w:r w:rsidR="007C6931">
              <w:rPr>
                <w:rFonts w:asciiTheme="minorHAnsi" w:eastAsiaTheme="minorEastAsia" w:hAnsiTheme="minorHAnsi"/>
                <w:noProof/>
                <w:sz w:val="22"/>
                <w:lang w:eastAsia="de-CH"/>
              </w:rPr>
              <w:tab/>
            </w:r>
            <w:r w:rsidR="007C6931" w:rsidRPr="005B368F">
              <w:rPr>
                <w:rStyle w:val="Hyperlink"/>
                <w:noProof/>
              </w:rPr>
              <w:t>Fenotipo RH/KEL1 e fenotipo esteso</w:t>
            </w:r>
            <w:r w:rsidR="007C6931">
              <w:rPr>
                <w:noProof/>
                <w:webHidden/>
              </w:rPr>
              <w:tab/>
            </w:r>
            <w:r w:rsidR="007C6931">
              <w:rPr>
                <w:noProof/>
                <w:webHidden/>
              </w:rPr>
              <w:fldChar w:fldCharType="begin"/>
            </w:r>
            <w:r w:rsidR="007C6931">
              <w:rPr>
                <w:noProof/>
                <w:webHidden/>
              </w:rPr>
              <w:instrText xml:space="preserve"> PAGEREF _Toc161749102 \h </w:instrText>
            </w:r>
            <w:r w:rsidR="007C6931">
              <w:rPr>
                <w:noProof/>
                <w:webHidden/>
              </w:rPr>
            </w:r>
            <w:r w:rsidR="007C6931">
              <w:rPr>
                <w:noProof/>
                <w:webHidden/>
              </w:rPr>
              <w:fldChar w:fldCharType="separate"/>
            </w:r>
            <w:r w:rsidR="007C6931">
              <w:rPr>
                <w:noProof/>
                <w:webHidden/>
              </w:rPr>
              <w:t>19</w:t>
            </w:r>
            <w:r w:rsidR="007C6931">
              <w:rPr>
                <w:noProof/>
                <w:webHidden/>
              </w:rPr>
              <w:fldChar w:fldCharType="end"/>
            </w:r>
          </w:hyperlink>
        </w:p>
        <w:p w14:paraId="63B9A3A0" w14:textId="58A91D05"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03" w:history="1">
            <w:r w:rsidR="007C6931" w:rsidRPr="005B368F">
              <w:rPr>
                <w:rStyle w:val="Hyperlink"/>
                <w:noProof/>
              </w:rPr>
              <w:t>5.2.1</w:t>
            </w:r>
            <w:r w:rsidR="007C6931">
              <w:rPr>
                <w:rFonts w:asciiTheme="minorHAnsi" w:eastAsiaTheme="minorEastAsia" w:hAnsiTheme="minorHAnsi"/>
                <w:noProof/>
                <w:sz w:val="22"/>
                <w:lang w:eastAsia="de-CH"/>
              </w:rPr>
              <w:tab/>
            </w:r>
            <w:r w:rsidR="007C6931" w:rsidRPr="005B368F">
              <w:rPr>
                <w:rStyle w:val="Hyperlink"/>
                <w:noProof/>
              </w:rPr>
              <w:t>Determinazione del fenotipo RH/KEL1 e fenotipo esteso</w:t>
            </w:r>
            <w:r w:rsidR="007C6931">
              <w:rPr>
                <w:noProof/>
                <w:webHidden/>
              </w:rPr>
              <w:tab/>
            </w:r>
            <w:r w:rsidR="007C6931">
              <w:rPr>
                <w:noProof/>
                <w:webHidden/>
              </w:rPr>
              <w:fldChar w:fldCharType="begin"/>
            </w:r>
            <w:r w:rsidR="007C6931">
              <w:rPr>
                <w:noProof/>
                <w:webHidden/>
              </w:rPr>
              <w:instrText xml:space="preserve"> PAGEREF _Toc161749103 \h </w:instrText>
            </w:r>
            <w:r w:rsidR="007C6931">
              <w:rPr>
                <w:noProof/>
                <w:webHidden/>
              </w:rPr>
            </w:r>
            <w:r w:rsidR="007C6931">
              <w:rPr>
                <w:noProof/>
                <w:webHidden/>
              </w:rPr>
              <w:fldChar w:fldCharType="separate"/>
            </w:r>
            <w:r w:rsidR="007C6931">
              <w:rPr>
                <w:noProof/>
                <w:webHidden/>
              </w:rPr>
              <w:t>19</w:t>
            </w:r>
            <w:r w:rsidR="007C6931">
              <w:rPr>
                <w:noProof/>
                <w:webHidden/>
              </w:rPr>
              <w:fldChar w:fldCharType="end"/>
            </w:r>
          </w:hyperlink>
        </w:p>
        <w:p w14:paraId="63C727E2" w14:textId="7612377A"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04" w:history="1">
            <w:r w:rsidR="007C6931" w:rsidRPr="005B368F">
              <w:rPr>
                <w:rStyle w:val="Hyperlink"/>
                <w:noProof/>
              </w:rPr>
              <w:t>5.2.2</w:t>
            </w:r>
            <w:r w:rsidR="007C6931">
              <w:rPr>
                <w:rFonts w:asciiTheme="minorHAnsi" w:eastAsiaTheme="minorEastAsia" w:hAnsiTheme="minorHAnsi"/>
                <w:noProof/>
                <w:sz w:val="22"/>
                <w:lang w:eastAsia="de-CH"/>
              </w:rPr>
              <w:tab/>
            </w:r>
            <w:r w:rsidR="007C6931" w:rsidRPr="005B368F">
              <w:rPr>
                <w:rStyle w:val="Hyperlink"/>
                <w:noProof/>
              </w:rPr>
              <w:t>Risultato e interpretazione del fenotipo RH/KEL1 (Rh/K) e di altri antigeni dei gruppi sanguigni</w:t>
            </w:r>
            <w:r w:rsidR="007C6931">
              <w:rPr>
                <w:noProof/>
                <w:webHidden/>
              </w:rPr>
              <w:tab/>
            </w:r>
            <w:r w:rsidR="007C6931">
              <w:rPr>
                <w:noProof/>
                <w:webHidden/>
              </w:rPr>
              <w:fldChar w:fldCharType="begin"/>
            </w:r>
            <w:r w:rsidR="007C6931">
              <w:rPr>
                <w:noProof/>
                <w:webHidden/>
              </w:rPr>
              <w:instrText xml:space="preserve"> PAGEREF _Toc161749104 \h </w:instrText>
            </w:r>
            <w:r w:rsidR="007C6931">
              <w:rPr>
                <w:noProof/>
                <w:webHidden/>
              </w:rPr>
            </w:r>
            <w:r w:rsidR="007C6931">
              <w:rPr>
                <w:noProof/>
                <w:webHidden/>
              </w:rPr>
              <w:fldChar w:fldCharType="separate"/>
            </w:r>
            <w:r w:rsidR="007C6931">
              <w:rPr>
                <w:noProof/>
                <w:webHidden/>
              </w:rPr>
              <w:t>20</w:t>
            </w:r>
            <w:r w:rsidR="007C6931">
              <w:rPr>
                <w:noProof/>
                <w:webHidden/>
              </w:rPr>
              <w:fldChar w:fldCharType="end"/>
            </w:r>
          </w:hyperlink>
        </w:p>
        <w:p w14:paraId="6A52057B" w14:textId="1231CDC5" w:rsidR="007C6931" w:rsidRDefault="00654E10">
          <w:pPr>
            <w:pStyle w:val="Verzeichnis2"/>
            <w:rPr>
              <w:rFonts w:asciiTheme="minorHAnsi" w:eastAsiaTheme="minorEastAsia" w:hAnsiTheme="minorHAnsi"/>
              <w:noProof/>
              <w:sz w:val="22"/>
              <w:lang w:eastAsia="de-CH"/>
            </w:rPr>
          </w:pPr>
          <w:hyperlink w:anchor="_Toc161749105" w:history="1">
            <w:r w:rsidR="007C6931" w:rsidRPr="005B368F">
              <w:rPr>
                <w:rStyle w:val="Hyperlink"/>
                <w:noProof/>
              </w:rPr>
              <w:t>5.3</w:t>
            </w:r>
            <w:r w:rsidR="007C6931">
              <w:rPr>
                <w:rFonts w:asciiTheme="minorHAnsi" w:eastAsiaTheme="minorEastAsia" w:hAnsiTheme="minorHAnsi"/>
                <w:noProof/>
                <w:sz w:val="22"/>
                <w:lang w:eastAsia="de-CH"/>
              </w:rPr>
              <w:tab/>
            </w:r>
            <w:r w:rsidR="007C6931" w:rsidRPr="005B368F">
              <w:rPr>
                <w:rStyle w:val="Hyperlink"/>
                <w:noProof/>
              </w:rPr>
              <w:t>Ricerca e identificazione anticorpi</w:t>
            </w:r>
            <w:r w:rsidR="007C6931">
              <w:rPr>
                <w:noProof/>
                <w:webHidden/>
              </w:rPr>
              <w:tab/>
            </w:r>
            <w:r w:rsidR="007C6931">
              <w:rPr>
                <w:noProof/>
                <w:webHidden/>
              </w:rPr>
              <w:fldChar w:fldCharType="begin"/>
            </w:r>
            <w:r w:rsidR="007C6931">
              <w:rPr>
                <w:noProof/>
                <w:webHidden/>
              </w:rPr>
              <w:instrText xml:space="preserve"> PAGEREF _Toc161749105 \h </w:instrText>
            </w:r>
            <w:r w:rsidR="007C6931">
              <w:rPr>
                <w:noProof/>
                <w:webHidden/>
              </w:rPr>
            </w:r>
            <w:r w:rsidR="007C6931">
              <w:rPr>
                <w:noProof/>
                <w:webHidden/>
              </w:rPr>
              <w:fldChar w:fldCharType="separate"/>
            </w:r>
            <w:r w:rsidR="007C6931">
              <w:rPr>
                <w:noProof/>
                <w:webHidden/>
              </w:rPr>
              <w:t>20</w:t>
            </w:r>
            <w:r w:rsidR="007C6931">
              <w:rPr>
                <w:noProof/>
                <w:webHidden/>
              </w:rPr>
              <w:fldChar w:fldCharType="end"/>
            </w:r>
          </w:hyperlink>
        </w:p>
        <w:p w14:paraId="67A92D9A" w14:textId="55AC0AF5"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06" w:history="1">
            <w:r w:rsidR="007C6931" w:rsidRPr="005B368F">
              <w:rPr>
                <w:rStyle w:val="Hyperlink"/>
                <w:noProof/>
              </w:rPr>
              <w:t>5.3.1</w:t>
            </w:r>
            <w:r w:rsidR="007C6931">
              <w:rPr>
                <w:rFonts w:asciiTheme="minorHAnsi" w:eastAsiaTheme="minorEastAsia" w:hAnsiTheme="minorHAnsi"/>
                <w:noProof/>
                <w:sz w:val="22"/>
                <w:lang w:eastAsia="de-CH"/>
              </w:rPr>
              <w:tab/>
            </w:r>
            <w:r w:rsidR="007C6931" w:rsidRPr="005B368F">
              <w:rPr>
                <w:rStyle w:val="Hyperlink"/>
                <w:noProof/>
              </w:rPr>
              <w:t>Generalità</w:t>
            </w:r>
            <w:r w:rsidR="007C6931">
              <w:rPr>
                <w:noProof/>
                <w:webHidden/>
              </w:rPr>
              <w:tab/>
            </w:r>
            <w:r w:rsidR="007C6931">
              <w:rPr>
                <w:noProof/>
                <w:webHidden/>
              </w:rPr>
              <w:fldChar w:fldCharType="begin"/>
            </w:r>
            <w:r w:rsidR="007C6931">
              <w:rPr>
                <w:noProof/>
                <w:webHidden/>
              </w:rPr>
              <w:instrText xml:space="preserve"> PAGEREF _Toc161749106 \h </w:instrText>
            </w:r>
            <w:r w:rsidR="007C6931">
              <w:rPr>
                <w:noProof/>
                <w:webHidden/>
              </w:rPr>
            </w:r>
            <w:r w:rsidR="007C6931">
              <w:rPr>
                <w:noProof/>
                <w:webHidden/>
              </w:rPr>
              <w:fldChar w:fldCharType="separate"/>
            </w:r>
            <w:r w:rsidR="007C6931">
              <w:rPr>
                <w:noProof/>
                <w:webHidden/>
              </w:rPr>
              <w:t>20</w:t>
            </w:r>
            <w:r w:rsidR="007C6931">
              <w:rPr>
                <w:noProof/>
                <w:webHidden/>
              </w:rPr>
              <w:fldChar w:fldCharType="end"/>
            </w:r>
          </w:hyperlink>
        </w:p>
        <w:p w14:paraId="604758B1" w14:textId="7C007C76"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07" w:history="1">
            <w:r w:rsidR="007C6931" w:rsidRPr="005B368F">
              <w:rPr>
                <w:rStyle w:val="Hyperlink"/>
                <w:noProof/>
              </w:rPr>
              <w:t>5.3.2</w:t>
            </w:r>
            <w:r w:rsidR="007C6931">
              <w:rPr>
                <w:rFonts w:asciiTheme="minorHAnsi" w:eastAsiaTheme="minorEastAsia" w:hAnsiTheme="minorHAnsi"/>
                <w:noProof/>
                <w:sz w:val="22"/>
                <w:lang w:eastAsia="de-CH"/>
              </w:rPr>
              <w:tab/>
            </w:r>
            <w:r w:rsidR="007C6931" w:rsidRPr="005B368F">
              <w:rPr>
                <w:rStyle w:val="Hyperlink"/>
                <w:noProof/>
              </w:rPr>
              <w:t>Metodi per la ricerca e l’identificazione di anticorpi</w:t>
            </w:r>
            <w:r w:rsidR="007C6931">
              <w:rPr>
                <w:noProof/>
                <w:webHidden/>
              </w:rPr>
              <w:tab/>
            </w:r>
            <w:r w:rsidR="007C6931">
              <w:rPr>
                <w:noProof/>
                <w:webHidden/>
              </w:rPr>
              <w:fldChar w:fldCharType="begin"/>
            </w:r>
            <w:r w:rsidR="007C6931">
              <w:rPr>
                <w:noProof/>
                <w:webHidden/>
              </w:rPr>
              <w:instrText xml:space="preserve"> PAGEREF _Toc161749107 \h </w:instrText>
            </w:r>
            <w:r w:rsidR="007C6931">
              <w:rPr>
                <w:noProof/>
                <w:webHidden/>
              </w:rPr>
            </w:r>
            <w:r w:rsidR="007C6931">
              <w:rPr>
                <w:noProof/>
                <w:webHidden/>
              </w:rPr>
              <w:fldChar w:fldCharType="separate"/>
            </w:r>
            <w:r w:rsidR="007C6931">
              <w:rPr>
                <w:noProof/>
                <w:webHidden/>
              </w:rPr>
              <w:t>20</w:t>
            </w:r>
            <w:r w:rsidR="007C6931">
              <w:rPr>
                <w:noProof/>
                <w:webHidden/>
              </w:rPr>
              <w:fldChar w:fldCharType="end"/>
            </w:r>
          </w:hyperlink>
        </w:p>
        <w:p w14:paraId="2C225FC9" w14:textId="30ADB631"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08" w:history="1">
            <w:r w:rsidR="007C6931" w:rsidRPr="005B368F">
              <w:rPr>
                <w:rStyle w:val="Hyperlink"/>
                <w:noProof/>
              </w:rPr>
              <w:t>5.3.3</w:t>
            </w:r>
            <w:r w:rsidR="007C6931">
              <w:rPr>
                <w:rFonts w:asciiTheme="minorHAnsi" w:eastAsiaTheme="minorEastAsia" w:hAnsiTheme="minorHAnsi"/>
                <w:noProof/>
                <w:sz w:val="22"/>
                <w:lang w:eastAsia="de-CH"/>
              </w:rPr>
              <w:tab/>
            </w:r>
            <w:r w:rsidR="007C6931" w:rsidRPr="005B368F">
              <w:rPr>
                <w:rStyle w:val="Hyperlink"/>
                <w:noProof/>
              </w:rPr>
              <w:t>Risultati della ricerca anticorpi</w:t>
            </w:r>
            <w:r w:rsidR="007C6931">
              <w:rPr>
                <w:noProof/>
                <w:webHidden/>
              </w:rPr>
              <w:tab/>
            </w:r>
            <w:r w:rsidR="007C6931">
              <w:rPr>
                <w:noProof/>
                <w:webHidden/>
              </w:rPr>
              <w:fldChar w:fldCharType="begin"/>
            </w:r>
            <w:r w:rsidR="007C6931">
              <w:rPr>
                <w:noProof/>
                <w:webHidden/>
              </w:rPr>
              <w:instrText xml:space="preserve"> PAGEREF _Toc161749108 \h </w:instrText>
            </w:r>
            <w:r w:rsidR="007C6931">
              <w:rPr>
                <w:noProof/>
                <w:webHidden/>
              </w:rPr>
            </w:r>
            <w:r w:rsidR="007C6931">
              <w:rPr>
                <w:noProof/>
                <w:webHidden/>
              </w:rPr>
              <w:fldChar w:fldCharType="separate"/>
            </w:r>
            <w:r w:rsidR="007C6931">
              <w:rPr>
                <w:noProof/>
                <w:webHidden/>
              </w:rPr>
              <w:t>20</w:t>
            </w:r>
            <w:r w:rsidR="007C6931">
              <w:rPr>
                <w:noProof/>
                <w:webHidden/>
              </w:rPr>
              <w:fldChar w:fldCharType="end"/>
            </w:r>
          </w:hyperlink>
        </w:p>
        <w:p w14:paraId="3DC1618F" w14:textId="126F4E9B"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09" w:history="1">
            <w:r w:rsidR="007C6931" w:rsidRPr="005B368F">
              <w:rPr>
                <w:rStyle w:val="Hyperlink"/>
                <w:noProof/>
              </w:rPr>
              <w:t>5.3.4</w:t>
            </w:r>
            <w:r w:rsidR="007C6931">
              <w:rPr>
                <w:rFonts w:asciiTheme="minorHAnsi" w:eastAsiaTheme="minorEastAsia" w:hAnsiTheme="minorHAnsi"/>
                <w:noProof/>
                <w:sz w:val="22"/>
                <w:lang w:eastAsia="de-CH"/>
              </w:rPr>
              <w:tab/>
            </w:r>
            <w:r w:rsidR="007C6931" w:rsidRPr="005B368F">
              <w:rPr>
                <w:rStyle w:val="Hyperlink"/>
                <w:noProof/>
              </w:rPr>
              <w:t>Identificazione di anticorpi irregolari</w:t>
            </w:r>
            <w:r w:rsidR="007C6931">
              <w:rPr>
                <w:noProof/>
                <w:webHidden/>
              </w:rPr>
              <w:tab/>
            </w:r>
            <w:r w:rsidR="007C6931">
              <w:rPr>
                <w:noProof/>
                <w:webHidden/>
              </w:rPr>
              <w:fldChar w:fldCharType="begin"/>
            </w:r>
            <w:r w:rsidR="007C6931">
              <w:rPr>
                <w:noProof/>
                <w:webHidden/>
              </w:rPr>
              <w:instrText xml:space="preserve"> PAGEREF _Toc161749109 \h </w:instrText>
            </w:r>
            <w:r w:rsidR="007C6931">
              <w:rPr>
                <w:noProof/>
                <w:webHidden/>
              </w:rPr>
            </w:r>
            <w:r w:rsidR="007C6931">
              <w:rPr>
                <w:noProof/>
                <w:webHidden/>
              </w:rPr>
              <w:fldChar w:fldCharType="separate"/>
            </w:r>
            <w:r w:rsidR="007C6931">
              <w:rPr>
                <w:noProof/>
                <w:webHidden/>
              </w:rPr>
              <w:t>20</w:t>
            </w:r>
            <w:r w:rsidR="007C6931">
              <w:rPr>
                <w:noProof/>
                <w:webHidden/>
              </w:rPr>
              <w:fldChar w:fldCharType="end"/>
            </w:r>
          </w:hyperlink>
        </w:p>
        <w:p w14:paraId="3EC885FD" w14:textId="64245006" w:rsidR="007C6931" w:rsidRDefault="00654E10">
          <w:pPr>
            <w:pStyle w:val="Verzeichnis2"/>
            <w:rPr>
              <w:rFonts w:asciiTheme="minorHAnsi" w:eastAsiaTheme="minorEastAsia" w:hAnsiTheme="minorHAnsi"/>
              <w:noProof/>
              <w:sz w:val="22"/>
              <w:lang w:eastAsia="de-CH"/>
            </w:rPr>
          </w:pPr>
          <w:hyperlink w:anchor="_Toc161749110" w:history="1">
            <w:r w:rsidR="007C6931" w:rsidRPr="005B368F">
              <w:rPr>
                <w:rStyle w:val="Hyperlink"/>
                <w:noProof/>
              </w:rPr>
              <w:t>5.4</w:t>
            </w:r>
            <w:r w:rsidR="007C6931">
              <w:rPr>
                <w:rFonts w:asciiTheme="minorHAnsi" w:eastAsiaTheme="minorEastAsia" w:hAnsiTheme="minorHAnsi"/>
                <w:noProof/>
                <w:sz w:val="22"/>
                <w:lang w:eastAsia="de-CH"/>
              </w:rPr>
              <w:tab/>
            </w:r>
            <w:r w:rsidR="007C6931" w:rsidRPr="005B368F">
              <w:rPr>
                <w:rStyle w:val="Hyperlink"/>
                <w:noProof/>
              </w:rPr>
              <w:t>Test di Coombs diretto ed eluizione</w:t>
            </w:r>
            <w:r w:rsidR="007C6931">
              <w:rPr>
                <w:noProof/>
                <w:webHidden/>
              </w:rPr>
              <w:tab/>
            </w:r>
            <w:r w:rsidR="007C6931">
              <w:rPr>
                <w:noProof/>
                <w:webHidden/>
              </w:rPr>
              <w:fldChar w:fldCharType="begin"/>
            </w:r>
            <w:r w:rsidR="007C6931">
              <w:rPr>
                <w:noProof/>
                <w:webHidden/>
              </w:rPr>
              <w:instrText xml:space="preserve"> PAGEREF _Toc161749110 \h </w:instrText>
            </w:r>
            <w:r w:rsidR="007C6931">
              <w:rPr>
                <w:noProof/>
                <w:webHidden/>
              </w:rPr>
            </w:r>
            <w:r w:rsidR="007C6931">
              <w:rPr>
                <w:noProof/>
                <w:webHidden/>
              </w:rPr>
              <w:fldChar w:fldCharType="separate"/>
            </w:r>
            <w:r w:rsidR="007C6931">
              <w:rPr>
                <w:noProof/>
                <w:webHidden/>
              </w:rPr>
              <w:t>21</w:t>
            </w:r>
            <w:r w:rsidR="007C6931">
              <w:rPr>
                <w:noProof/>
                <w:webHidden/>
              </w:rPr>
              <w:fldChar w:fldCharType="end"/>
            </w:r>
          </w:hyperlink>
        </w:p>
        <w:p w14:paraId="2DC908FD" w14:textId="2F080A6D"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11" w:history="1">
            <w:r w:rsidR="007C6931" w:rsidRPr="005B368F">
              <w:rPr>
                <w:rStyle w:val="Hyperlink"/>
                <w:noProof/>
              </w:rPr>
              <w:t>5.4.1</w:t>
            </w:r>
            <w:r w:rsidR="007C6931">
              <w:rPr>
                <w:rFonts w:asciiTheme="minorHAnsi" w:eastAsiaTheme="minorEastAsia" w:hAnsiTheme="minorHAnsi"/>
                <w:noProof/>
                <w:sz w:val="22"/>
                <w:lang w:eastAsia="de-CH"/>
              </w:rPr>
              <w:tab/>
            </w:r>
            <w:r w:rsidR="007C6931" w:rsidRPr="005B368F">
              <w:rPr>
                <w:rStyle w:val="Hyperlink"/>
                <w:noProof/>
              </w:rPr>
              <w:t>Test di Coombs diretto</w:t>
            </w:r>
            <w:r w:rsidR="007C6931">
              <w:rPr>
                <w:noProof/>
                <w:webHidden/>
              </w:rPr>
              <w:tab/>
            </w:r>
            <w:r w:rsidR="007C6931">
              <w:rPr>
                <w:noProof/>
                <w:webHidden/>
              </w:rPr>
              <w:fldChar w:fldCharType="begin"/>
            </w:r>
            <w:r w:rsidR="007C6931">
              <w:rPr>
                <w:noProof/>
                <w:webHidden/>
              </w:rPr>
              <w:instrText xml:space="preserve"> PAGEREF _Toc161749111 \h </w:instrText>
            </w:r>
            <w:r w:rsidR="007C6931">
              <w:rPr>
                <w:noProof/>
                <w:webHidden/>
              </w:rPr>
            </w:r>
            <w:r w:rsidR="007C6931">
              <w:rPr>
                <w:noProof/>
                <w:webHidden/>
              </w:rPr>
              <w:fldChar w:fldCharType="separate"/>
            </w:r>
            <w:r w:rsidR="007C6931">
              <w:rPr>
                <w:noProof/>
                <w:webHidden/>
              </w:rPr>
              <w:t>21</w:t>
            </w:r>
            <w:r w:rsidR="007C6931">
              <w:rPr>
                <w:noProof/>
                <w:webHidden/>
              </w:rPr>
              <w:fldChar w:fldCharType="end"/>
            </w:r>
          </w:hyperlink>
        </w:p>
        <w:p w14:paraId="146A8FBB" w14:textId="096A0129"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12" w:history="1">
            <w:r w:rsidR="007C6931" w:rsidRPr="005B368F">
              <w:rPr>
                <w:rStyle w:val="Hyperlink"/>
                <w:noProof/>
              </w:rPr>
              <w:t>5.4.2</w:t>
            </w:r>
            <w:r w:rsidR="007C6931">
              <w:rPr>
                <w:rFonts w:asciiTheme="minorHAnsi" w:eastAsiaTheme="minorEastAsia" w:hAnsiTheme="minorHAnsi"/>
                <w:noProof/>
                <w:sz w:val="22"/>
                <w:lang w:eastAsia="de-CH"/>
              </w:rPr>
              <w:tab/>
            </w:r>
            <w:r w:rsidR="007C6931" w:rsidRPr="005B368F">
              <w:rPr>
                <w:rStyle w:val="Hyperlink"/>
                <w:noProof/>
              </w:rPr>
              <w:t>Eluizione</w:t>
            </w:r>
            <w:r w:rsidR="007C6931">
              <w:rPr>
                <w:noProof/>
                <w:webHidden/>
              </w:rPr>
              <w:tab/>
            </w:r>
            <w:r w:rsidR="007C6931">
              <w:rPr>
                <w:noProof/>
                <w:webHidden/>
              </w:rPr>
              <w:fldChar w:fldCharType="begin"/>
            </w:r>
            <w:r w:rsidR="007C6931">
              <w:rPr>
                <w:noProof/>
                <w:webHidden/>
              </w:rPr>
              <w:instrText xml:space="preserve"> PAGEREF _Toc161749112 \h </w:instrText>
            </w:r>
            <w:r w:rsidR="007C6931">
              <w:rPr>
                <w:noProof/>
                <w:webHidden/>
              </w:rPr>
            </w:r>
            <w:r w:rsidR="007C6931">
              <w:rPr>
                <w:noProof/>
                <w:webHidden/>
              </w:rPr>
              <w:fldChar w:fldCharType="separate"/>
            </w:r>
            <w:r w:rsidR="007C6931">
              <w:rPr>
                <w:noProof/>
                <w:webHidden/>
              </w:rPr>
              <w:t>21</w:t>
            </w:r>
            <w:r w:rsidR="007C6931">
              <w:rPr>
                <w:noProof/>
                <w:webHidden/>
              </w:rPr>
              <w:fldChar w:fldCharType="end"/>
            </w:r>
          </w:hyperlink>
        </w:p>
        <w:p w14:paraId="5718A6CA" w14:textId="43B8332E" w:rsidR="007C6931" w:rsidRDefault="00654E10">
          <w:pPr>
            <w:pStyle w:val="Verzeichnis2"/>
            <w:rPr>
              <w:rFonts w:asciiTheme="minorHAnsi" w:eastAsiaTheme="minorEastAsia" w:hAnsiTheme="minorHAnsi"/>
              <w:noProof/>
              <w:sz w:val="22"/>
              <w:lang w:eastAsia="de-CH"/>
            </w:rPr>
          </w:pPr>
          <w:hyperlink w:anchor="_Toc161749113" w:history="1">
            <w:r w:rsidR="007C6931" w:rsidRPr="005B368F">
              <w:rPr>
                <w:rStyle w:val="Hyperlink"/>
                <w:noProof/>
              </w:rPr>
              <w:t>5.5</w:t>
            </w:r>
            <w:r w:rsidR="007C6931">
              <w:rPr>
                <w:rFonts w:asciiTheme="minorHAnsi" w:eastAsiaTheme="minorEastAsia" w:hAnsiTheme="minorHAnsi"/>
                <w:noProof/>
                <w:sz w:val="22"/>
                <w:lang w:eastAsia="de-CH"/>
              </w:rPr>
              <w:tab/>
            </w:r>
            <w:r w:rsidR="007C6931" w:rsidRPr="005B368F">
              <w:rPr>
                <w:rStyle w:val="Hyperlink"/>
                <w:noProof/>
              </w:rPr>
              <w:t>Controllo pre-trasfusionale della compatibilità</w:t>
            </w:r>
            <w:r w:rsidR="007C6931">
              <w:rPr>
                <w:noProof/>
                <w:webHidden/>
              </w:rPr>
              <w:tab/>
            </w:r>
            <w:r w:rsidR="007C6931">
              <w:rPr>
                <w:noProof/>
                <w:webHidden/>
              </w:rPr>
              <w:fldChar w:fldCharType="begin"/>
            </w:r>
            <w:r w:rsidR="007C6931">
              <w:rPr>
                <w:noProof/>
                <w:webHidden/>
              </w:rPr>
              <w:instrText xml:space="preserve"> PAGEREF _Toc161749113 \h </w:instrText>
            </w:r>
            <w:r w:rsidR="007C6931">
              <w:rPr>
                <w:noProof/>
                <w:webHidden/>
              </w:rPr>
            </w:r>
            <w:r w:rsidR="007C6931">
              <w:rPr>
                <w:noProof/>
                <w:webHidden/>
              </w:rPr>
              <w:fldChar w:fldCharType="separate"/>
            </w:r>
            <w:r w:rsidR="007C6931">
              <w:rPr>
                <w:noProof/>
                <w:webHidden/>
              </w:rPr>
              <w:t>24</w:t>
            </w:r>
            <w:r w:rsidR="007C6931">
              <w:rPr>
                <w:noProof/>
                <w:webHidden/>
              </w:rPr>
              <w:fldChar w:fldCharType="end"/>
            </w:r>
          </w:hyperlink>
        </w:p>
        <w:p w14:paraId="67C37384" w14:textId="390905BF"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14" w:history="1">
            <w:r w:rsidR="007C6931" w:rsidRPr="005B368F">
              <w:rPr>
                <w:rStyle w:val="Hyperlink"/>
                <w:noProof/>
              </w:rPr>
              <w:t>5.5.1</w:t>
            </w:r>
            <w:r w:rsidR="007C6931">
              <w:rPr>
                <w:rFonts w:asciiTheme="minorHAnsi" w:eastAsiaTheme="minorEastAsia" w:hAnsiTheme="minorHAnsi"/>
                <w:noProof/>
                <w:sz w:val="22"/>
                <w:lang w:eastAsia="de-CH"/>
              </w:rPr>
              <w:tab/>
            </w:r>
            <w:r w:rsidR="007C6931" w:rsidRPr="005B368F">
              <w:rPr>
                <w:rStyle w:val="Hyperlink"/>
                <w:noProof/>
              </w:rPr>
              <w:t>Liberazione di CE per trasfusione</w:t>
            </w:r>
            <w:r w:rsidR="007C6931">
              <w:rPr>
                <w:noProof/>
                <w:webHidden/>
              </w:rPr>
              <w:tab/>
            </w:r>
            <w:r w:rsidR="007C6931">
              <w:rPr>
                <w:noProof/>
                <w:webHidden/>
              </w:rPr>
              <w:fldChar w:fldCharType="begin"/>
            </w:r>
            <w:r w:rsidR="007C6931">
              <w:rPr>
                <w:noProof/>
                <w:webHidden/>
              </w:rPr>
              <w:instrText xml:space="preserve"> PAGEREF _Toc161749114 \h </w:instrText>
            </w:r>
            <w:r w:rsidR="007C6931">
              <w:rPr>
                <w:noProof/>
                <w:webHidden/>
              </w:rPr>
            </w:r>
            <w:r w:rsidR="007C6931">
              <w:rPr>
                <w:noProof/>
                <w:webHidden/>
              </w:rPr>
              <w:fldChar w:fldCharType="separate"/>
            </w:r>
            <w:r w:rsidR="007C6931">
              <w:rPr>
                <w:noProof/>
                <w:webHidden/>
              </w:rPr>
              <w:t>24</w:t>
            </w:r>
            <w:r w:rsidR="007C6931">
              <w:rPr>
                <w:noProof/>
                <w:webHidden/>
              </w:rPr>
              <w:fldChar w:fldCharType="end"/>
            </w:r>
          </w:hyperlink>
        </w:p>
        <w:p w14:paraId="50336A84" w14:textId="34FEFC01"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15" w:history="1">
            <w:r w:rsidR="007C6931" w:rsidRPr="005B368F">
              <w:rPr>
                <w:rStyle w:val="Hyperlink"/>
                <w:noProof/>
              </w:rPr>
              <w:t>5.5.2</w:t>
            </w:r>
            <w:r w:rsidR="007C6931">
              <w:rPr>
                <w:rFonts w:asciiTheme="minorHAnsi" w:eastAsiaTheme="minorEastAsia" w:hAnsiTheme="minorHAnsi"/>
                <w:noProof/>
                <w:sz w:val="22"/>
                <w:lang w:eastAsia="de-CH"/>
              </w:rPr>
              <w:tab/>
            </w:r>
            <w:r w:rsidR="007C6931" w:rsidRPr="005B368F">
              <w:rPr>
                <w:rStyle w:val="Hyperlink"/>
                <w:noProof/>
              </w:rPr>
              <w:t>Liberazione mediante T&amp;S</w:t>
            </w:r>
            <w:r w:rsidR="007C6931">
              <w:rPr>
                <w:noProof/>
                <w:webHidden/>
              </w:rPr>
              <w:tab/>
            </w:r>
            <w:r w:rsidR="007C6931">
              <w:rPr>
                <w:noProof/>
                <w:webHidden/>
              </w:rPr>
              <w:fldChar w:fldCharType="begin"/>
            </w:r>
            <w:r w:rsidR="007C6931">
              <w:rPr>
                <w:noProof/>
                <w:webHidden/>
              </w:rPr>
              <w:instrText xml:space="preserve"> PAGEREF _Toc161749115 \h </w:instrText>
            </w:r>
            <w:r w:rsidR="007C6931">
              <w:rPr>
                <w:noProof/>
                <w:webHidden/>
              </w:rPr>
            </w:r>
            <w:r w:rsidR="007C6931">
              <w:rPr>
                <w:noProof/>
                <w:webHidden/>
              </w:rPr>
              <w:fldChar w:fldCharType="separate"/>
            </w:r>
            <w:r w:rsidR="007C6931">
              <w:rPr>
                <w:noProof/>
                <w:webHidden/>
              </w:rPr>
              <w:t>24</w:t>
            </w:r>
            <w:r w:rsidR="007C6931">
              <w:rPr>
                <w:noProof/>
                <w:webHidden/>
              </w:rPr>
              <w:fldChar w:fldCharType="end"/>
            </w:r>
          </w:hyperlink>
        </w:p>
        <w:p w14:paraId="5F8A2271" w14:textId="31F9F1F7"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16" w:history="1">
            <w:r w:rsidR="007C6931" w:rsidRPr="005B368F">
              <w:rPr>
                <w:rStyle w:val="Hyperlink"/>
                <w:noProof/>
              </w:rPr>
              <w:t>5.5.3</w:t>
            </w:r>
            <w:r w:rsidR="007C6931">
              <w:rPr>
                <w:rFonts w:asciiTheme="minorHAnsi" w:eastAsiaTheme="minorEastAsia" w:hAnsiTheme="minorHAnsi"/>
                <w:noProof/>
                <w:sz w:val="22"/>
                <w:lang w:eastAsia="de-CH"/>
              </w:rPr>
              <w:tab/>
            </w:r>
            <w:r w:rsidR="007C6931" w:rsidRPr="005B368F">
              <w:rPr>
                <w:rStyle w:val="Hyperlink"/>
                <w:noProof/>
              </w:rPr>
              <w:t>Liberazione mediante TC</w:t>
            </w:r>
            <w:r w:rsidR="007C6931">
              <w:rPr>
                <w:noProof/>
                <w:webHidden/>
              </w:rPr>
              <w:tab/>
            </w:r>
            <w:r w:rsidR="007C6931">
              <w:rPr>
                <w:noProof/>
                <w:webHidden/>
              </w:rPr>
              <w:fldChar w:fldCharType="begin"/>
            </w:r>
            <w:r w:rsidR="007C6931">
              <w:rPr>
                <w:noProof/>
                <w:webHidden/>
              </w:rPr>
              <w:instrText xml:space="preserve"> PAGEREF _Toc161749116 \h </w:instrText>
            </w:r>
            <w:r w:rsidR="007C6931">
              <w:rPr>
                <w:noProof/>
                <w:webHidden/>
              </w:rPr>
            </w:r>
            <w:r w:rsidR="007C6931">
              <w:rPr>
                <w:noProof/>
                <w:webHidden/>
              </w:rPr>
              <w:fldChar w:fldCharType="separate"/>
            </w:r>
            <w:r w:rsidR="007C6931">
              <w:rPr>
                <w:noProof/>
                <w:webHidden/>
              </w:rPr>
              <w:t>24</w:t>
            </w:r>
            <w:r w:rsidR="007C6931">
              <w:rPr>
                <w:noProof/>
                <w:webHidden/>
              </w:rPr>
              <w:fldChar w:fldCharType="end"/>
            </w:r>
          </w:hyperlink>
        </w:p>
        <w:p w14:paraId="515836BF" w14:textId="75F62158" w:rsidR="007C6931" w:rsidRDefault="00654E10">
          <w:pPr>
            <w:pStyle w:val="Verzeichnis2"/>
            <w:rPr>
              <w:rFonts w:asciiTheme="minorHAnsi" w:eastAsiaTheme="minorEastAsia" w:hAnsiTheme="minorHAnsi"/>
              <w:noProof/>
              <w:sz w:val="22"/>
              <w:lang w:eastAsia="de-CH"/>
            </w:rPr>
          </w:pPr>
          <w:hyperlink w:anchor="_Toc161749117" w:history="1">
            <w:r w:rsidR="007C6931" w:rsidRPr="005B368F">
              <w:rPr>
                <w:rStyle w:val="Hyperlink"/>
                <w:noProof/>
              </w:rPr>
              <w:t>5.6</w:t>
            </w:r>
            <w:r w:rsidR="007C6931">
              <w:rPr>
                <w:rFonts w:asciiTheme="minorHAnsi" w:eastAsiaTheme="minorEastAsia" w:hAnsiTheme="minorHAnsi"/>
                <w:noProof/>
                <w:sz w:val="22"/>
                <w:lang w:eastAsia="de-CH"/>
              </w:rPr>
              <w:tab/>
            </w:r>
            <w:r w:rsidR="007C6931" w:rsidRPr="005B368F">
              <w:rPr>
                <w:rStyle w:val="Hyperlink"/>
                <w:noProof/>
              </w:rPr>
              <w:t>Etichettatura, distribuzione dei concentrati eritrocitari</w:t>
            </w:r>
            <w:r w:rsidR="007C6931">
              <w:rPr>
                <w:noProof/>
                <w:webHidden/>
              </w:rPr>
              <w:tab/>
            </w:r>
            <w:r w:rsidR="007C6931">
              <w:rPr>
                <w:noProof/>
                <w:webHidden/>
              </w:rPr>
              <w:fldChar w:fldCharType="begin"/>
            </w:r>
            <w:r w:rsidR="007C6931">
              <w:rPr>
                <w:noProof/>
                <w:webHidden/>
              </w:rPr>
              <w:instrText xml:space="preserve"> PAGEREF _Toc161749117 \h </w:instrText>
            </w:r>
            <w:r w:rsidR="007C6931">
              <w:rPr>
                <w:noProof/>
                <w:webHidden/>
              </w:rPr>
            </w:r>
            <w:r w:rsidR="007C6931">
              <w:rPr>
                <w:noProof/>
                <w:webHidden/>
              </w:rPr>
              <w:fldChar w:fldCharType="separate"/>
            </w:r>
            <w:r w:rsidR="007C6931">
              <w:rPr>
                <w:noProof/>
                <w:webHidden/>
              </w:rPr>
              <w:t>24</w:t>
            </w:r>
            <w:r w:rsidR="007C6931">
              <w:rPr>
                <w:noProof/>
                <w:webHidden/>
              </w:rPr>
              <w:fldChar w:fldCharType="end"/>
            </w:r>
          </w:hyperlink>
        </w:p>
        <w:p w14:paraId="4039143B" w14:textId="2727F1BB"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18" w:history="1">
            <w:r w:rsidR="007C6931" w:rsidRPr="005B368F">
              <w:rPr>
                <w:rStyle w:val="Hyperlink"/>
                <w:noProof/>
              </w:rPr>
              <w:t>5.6.1</w:t>
            </w:r>
            <w:r w:rsidR="007C6931">
              <w:rPr>
                <w:rFonts w:asciiTheme="minorHAnsi" w:eastAsiaTheme="minorEastAsia" w:hAnsiTheme="minorHAnsi"/>
                <w:noProof/>
                <w:sz w:val="22"/>
                <w:lang w:eastAsia="de-CH"/>
              </w:rPr>
              <w:tab/>
            </w:r>
            <w:r w:rsidR="007C6931" w:rsidRPr="005B368F">
              <w:rPr>
                <w:rStyle w:val="Hyperlink"/>
                <w:noProof/>
              </w:rPr>
              <w:t>Etichettatura dei documenti d’accompagnamento</w:t>
            </w:r>
            <w:r w:rsidR="007C6931">
              <w:rPr>
                <w:noProof/>
                <w:webHidden/>
              </w:rPr>
              <w:tab/>
            </w:r>
            <w:r w:rsidR="007C6931">
              <w:rPr>
                <w:noProof/>
                <w:webHidden/>
              </w:rPr>
              <w:fldChar w:fldCharType="begin"/>
            </w:r>
            <w:r w:rsidR="007C6931">
              <w:rPr>
                <w:noProof/>
                <w:webHidden/>
              </w:rPr>
              <w:instrText xml:space="preserve"> PAGEREF _Toc161749118 \h </w:instrText>
            </w:r>
            <w:r w:rsidR="007C6931">
              <w:rPr>
                <w:noProof/>
                <w:webHidden/>
              </w:rPr>
            </w:r>
            <w:r w:rsidR="007C6931">
              <w:rPr>
                <w:noProof/>
                <w:webHidden/>
              </w:rPr>
              <w:fldChar w:fldCharType="separate"/>
            </w:r>
            <w:r w:rsidR="007C6931">
              <w:rPr>
                <w:noProof/>
                <w:webHidden/>
              </w:rPr>
              <w:t>24</w:t>
            </w:r>
            <w:r w:rsidR="007C6931">
              <w:rPr>
                <w:noProof/>
                <w:webHidden/>
              </w:rPr>
              <w:fldChar w:fldCharType="end"/>
            </w:r>
          </w:hyperlink>
        </w:p>
        <w:p w14:paraId="68C9E2EA" w14:textId="639CB624"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19" w:history="1">
            <w:r w:rsidR="007C6931" w:rsidRPr="005B368F">
              <w:rPr>
                <w:rStyle w:val="Hyperlink"/>
                <w:noProof/>
              </w:rPr>
              <w:t>5.6.2</w:t>
            </w:r>
            <w:r w:rsidR="007C6931">
              <w:rPr>
                <w:rFonts w:asciiTheme="minorHAnsi" w:eastAsiaTheme="minorEastAsia" w:hAnsiTheme="minorHAnsi"/>
                <w:noProof/>
                <w:sz w:val="22"/>
                <w:lang w:eastAsia="de-CH"/>
              </w:rPr>
              <w:tab/>
            </w:r>
            <w:r w:rsidR="007C6931" w:rsidRPr="005B368F">
              <w:rPr>
                <w:rStyle w:val="Hyperlink"/>
                <w:noProof/>
              </w:rPr>
              <w:t>Distribuzione dei concentrati eritrocitari liberati</w:t>
            </w:r>
            <w:r w:rsidR="007C6931">
              <w:rPr>
                <w:noProof/>
                <w:webHidden/>
              </w:rPr>
              <w:tab/>
            </w:r>
            <w:r w:rsidR="007C6931">
              <w:rPr>
                <w:noProof/>
                <w:webHidden/>
              </w:rPr>
              <w:fldChar w:fldCharType="begin"/>
            </w:r>
            <w:r w:rsidR="007C6931">
              <w:rPr>
                <w:noProof/>
                <w:webHidden/>
              </w:rPr>
              <w:instrText xml:space="preserve"> PAGEREF _Toc161749119 \h </w:instrText>
            </w:r>
            <w:r w:rsidR="007C6931">
              <w:rPr>
                <w:noProof/>
                <w:webHidden/>
              </w:rPr>
            </w:r>
            <w:r w:rsidR="007C6931">
              <w:rPr>
                <w:noProof/>
                <w:webHidden/>
              </w:rPr>
              <w:fldChar w:fldCharType="separate"/>
            </w:r>
            <w:r w:rsidR="007C6931">
              <w:rPr>
                <w:noProof/>
                <w:webHidden/>
              </w:rPr>
              <w:t>25</w:t>
            </w:r>
            <w:r w:rsidR="007C6931">
              <w:rPr>
                <w:noProof/>
                <w:webHidden/>
              </w:rPr>
              <w:fldChar w:fldCharType="end"/>
            </w:r>
          </w:hyperlink>
        </w:p>
        <w:p w14:paraId="24130FCA" w14:textId="2141638A" w:rsidR="007C6931" w:rsidRDefault="00654E10">
          <w:pPr>
            <w:pStyle w:val="Verzeichnis2"/>
            <w:rPr>
              <w:rFonts w:asciiTheme="minorHAnsi" w:eastAsiaTheme="minorEastAsia" w:hAnsiTheme="minorHAnsi"/>
              <w:noProof/>
              <w:sz w:val="22"/>
              <w:lang w:eastAsia="de-CH"/>
            </w:rPr>
          </w:pPr>
          <w:hyperlink w:anchor="_Toc161749120" w:history="1">
            <w:r w:rsidR="007C6931" w:rsidRPr="005B368F">
              <w:rPr>
                <w:rStyle w:val="Hyperlink"/>
                <w:noProof/>
              </w:rPr>
              <w:t>5.7</w:t>
            </w:r>
            <w:r w:rsidR="007C6931">
              <w:rPr>
                <w:rFonts w:asciiTheme="minorHAnsi" w:eastAsiaTheme="minorEastAsia" w:hAnsiTheme="minorHAnsi"/>
                <w:noProof/>
                <w:sz w:val="22"/>
                <w:lang w:eastAsia="de-CH"/>
              </w:rPr>
              <w:tab/>
            </w:r>
            <w:r w:rsidR="007C6931" w:rsidRPr="005B368F">
              <w:rPr>
                <w:rStyle w:val="Hyperlink"/>
                <w:noProof/>
              </w:rPr>
              <w:t>Controllo immunoematologico post-trasfusionale</w:t>
            </w:r>
            <w:r w:rsidR="007C6931">
              <w:rPr>
                <w:noProof/>
                <w:webHidden/>
              </w:rPr>
              <w:tab/>
            </w:r>
            <w:r w:rsidR="007C6931">
              <w:rPr>
                <w:noProof/>
                <w:webHidden/>
              </w:rPr>
              <w:fldChar w:fldCharType="begin"/>
            </w:r>
            <w:r w:rsidR="007C6931">
              <w:rPr>
                <w:noProof/>
                <w:webHidden/>
              </w:rPr>
              <w:instrText xml:space="preserve"> PAGEREF _Toc161749120 \h </w:instrText>
            </w:r>
            <w:r w:rsidR="007C6931">
              <w:rPr>
                <w:noProof/>
                <w:webHidden/>
              </w:rPr>
            </w:r>
            <w:r w:rsidR="007C6931">
              <w:rPr>
                <w:noProof/>
                <w:webHidden/>
              </w:rPr>
              <w:fldChar w:fldCharType="separate"/>
            </w:r>
            <w:r w:rsidR="007C6931">
              <w:rPr>
                <w:noProof/>
                <w:webHidden/>
              </w:rPr>
              <w:t>25</w:t>
            </w:r>
            <w:r w:rsidR="007C6931">
              <w:rPr>
                <w:noProof/>
                <w:webHidden/>
              </w:rPr>
              <w:fldChar w:fldCharType="end"/>
            </w:r>
          </w:hyperlink>
        </w:p>
        <w:p w14:paraId="0A5177A0" w14:textId="35E17288" w:rsidR="007C6931" w:rsidRDefault="00654E10">
          <w:pPr>
            <w:pStyle w:val="Verzeichnis1"/>
            <w:tabs>
              <w:tab w:val="left" w:pos="400"/>
              <w:tab w:val="right" w:leader="dot" w:pos="9060"/>
            </w:tabs>
            <w:rPr>
              <w:rFonts w:asciiTheme="minorHAnsi" w:eastAsiaTheme="minorEastAsia" w:hAnsiTheme="minorHAnsi"/>
              <w:b w:val="0"/>
              <w:noProof/>
              <w:sz w:val="22"/>
              <w:lang w:eastAsia="de-CH"/>
            </w:rPr>
          </w:pPr>
          <w:hyperlink w:anchor="_Toc161749121" w:history="1">
            <w:r w:rsidR="007C6931" w:rsidRPr="005B368F">
              <w:rPr>
                <w:rStyle w:val="Hyperlink"/>
                <w:noProof/>
              </w:rPr>
              <w:t>6</w:t>
            </w:r>
            <w:r w:rsidR="007C6931">
              <w:rPr>
                <w:rFonts w:asciiTheme="minorHAnsi" w:eastAsiaTheme="minorEastAsia" w:hAnsiTheme="minorHAnsi"/>
                <w:b w:val="0"/>
                <w:noProof/>
                <w:sz w:val="22"/>
                <w:lang w:eastAsia="de-CH"/>
              </w:rPr>
              <w:tab/>
            </w:r>
            <w:r w:rsidR="007C6931" w:rsidRPr="005B368F">
              <w:rPr>
                <w:rStyle w:val="Hyperlink"/>
                <w:noProof/>
              </w:rPr>
              <w:t>Postanalitica</w:t>
            </w:r>
            <w:r w:rsidR="007C6931">
              <w:rPr>
                <w:noProof/>
                <w:webHidden/>
              </w:rPr>
              <w:tab/>
            </w:r>
            <w:r w:rsidR="007C6931">
              <w:rPr>
                <w:noProof/>
                <w:webHidden/>
              </w:rPr>
              <w:fldChar w:fldCharType="begin"/>
            </w:r>
            <w:r w:rsidR="007C6931">
              <w:rPr>
                <w:noProof/>
                <w:webHidden/>
              </w:rPr>
              <w:instrText xml:space="preserve"> PAGEREF _Toc161749121 \h </w:instrText>
            </w:r>
            <w:r w:rsidR="007C6931">
              <w:rPr>
                <w:noProof/>
                <w:webHidden/>
              </w:rPr>
            </w:r>
            <w:r w:rsidR="007C6931">
              <w:rPr>
                <w:noProof/>
                <w:webHidden/>
              </w:rPr>
              <w:fldChar w:fldCharType="separate"/>
            </w:r>
            <w:r w:rsidR="007C6931">
              <w:rPr>
                <w:noProof/>
                <w:webHidden/>
              </w:rPr>
              <w:t>26</w:t>
            </w:r>
            <w:r w:rsidR="007C6931">
              <w:rPr>
                <w:noProof/>
                <w:webHidden/>
              </w:rPr>
              <w:fldChar w:fldCharType="end"/>
            </w:r>
          </w:hyperlink>
        </w:p>
        <w:p w14:paraId="7266F449" w14:textId="326C82C3" w:rsidR="007C6931" w:rsidRDefault="00654E10">
          <w:pPr>
            <w:pStyle w:val="Verzeichnis2"/>
            <w:rPr>
              <w:rFonts w:asciiTheme="minorHAnsi" w:eastAsiaTheme="minorEastAsia" w:hAnsiTheme="minorHAnsi"/>
              <w:noProof/>
              <w:sz w:val="22"/>
              <w:lang w:eastAsia="de-CH"/>
            </w:rPr>
          </w:pPr>
          <w:hyperlink w:anchor="_Toc161749122" w:history="1">
            <w:r w:rsidR="007C6931" w:rsidRPr="005B368F">
              <w:rPr>
                <w:rStyle w:val="Hyperlink"/>
                <w:noProof/>
              </w:rPr>
              <w:t>6.1</w:t>
            </w:r>
            <w:r w:rsidR="007C6931">
              <w:rPr>
                <w:rFonts w:asciiTheme="minorHAnsi" w:eastAsiaTheme="minorEastAsia" w:hAnsiTheme="minorHAnsi"/>
                <w:noProof/>
                <w:sz w:val="22"/>
                <w:lang w:eastAsia="de-CH"/>
              </w:rPr>
              <w:tab/>
            </w:r>
            <w:r w:rsidR="007C6931" w:rsidRPr="005B368F">
              <w:rPr>
                <w:rStyle w:val="Hyperlink"/>
                <w:noProof/>
              </w:rPr>
              <w:t>Registrazione dei risultati</w:t>
            </w:r>
            <w:r w:rsidR="007C6931">
              <w:rPr>
                <w:noProof/>
                <w:webHidden/>
              </w:rPr>
              <w:tab/>
            </w:r>
            <w:r w:rsidR="007C6931">
              <w:rPr>
                <w:noProof/>
                <w:webHidden/>
              </w:rPr>
              <w:fldChar w:fldCharType="begin"/>
            </w:r>
            <w:r w:rsidR="007C6931">
              <w:rPr>
                <w:noProof/>
                <w:webHidden/>
              </w:rPr>
              <w:instrText xml:space="preserve"> PAGEREF _Toc161749122 \h </w:instrText>
            </w:r>
            <w:r w:rsidR="007C6931">
              <w:rPr>
                <w:noProof/>
                <w:webHidden/>
              </w:rPr>
            </w:r>
            <w:r w:rsidR="007C6931">
              <w:rPr>
                <w:noProof/>
                <w:webHidden/>
              </w:rPr>
              <w:fldChar w:fldCharType="separate"/>
            </w:r>
            <w:r w:rsidR="007C6931">
              <w:rPr>
                <w:noProof/>
                <w:webHidden/>
              </w:rPr>
              <w:t>26</w:t>
            </w:r>
            <w:r w:rsidR="007C6931">
              <w:rPr>
                <w:noProof/>
                <w:webHidden/>
              </w:rPr>
              <w:fldChar w:fldCharType="end"/>
            </w:r>
          </w:hyperlink>
        </w:p>
        <w:p w14:paraId="72B69971" w14:textId="4B94221B" w:rsidR="007C6931" w:rsidRDefault="00654E10">
          <w:pPr>
            <w:pStyle w:val="Verzeichnis2"/>
            <w:rPr>
              <w:rFonts w:asciiTheme="minorHAnsi" w:eastAsiaTheme="minorEastAsia" w:hAnsiTheme="minorHAnsi"/>
              <w:noProof/>
              <w:sz w:val="22"/>
              <w:lang w:eastAsia="de-CH"/>
            </w:rPr>
          </w:pPr>
          <w:hyperlink w:anchor="_Toc161749123" w:history="1">
            <w:r w:rsidR="007C6931" w:rsidRPr="005B368F">
              <w:rPr>
                <w:rStyle w:val="Hyperlink"/>
                <w:noProof/>
              </w:rPr>
              <w:t>6.2</w:t>
            </w:r>
            <w:r w:rsidR="007C6931">
              <w:rPr>
                <w:rFonts w:asciiTheme="minorHAnsi" w:eastAsiaTheme="minorEastAsia" w:hAnsiTheme="minorHAnsi"/>
                <w:noProof/>
                <w:sz w:val="22"/>
                <w:lang w:eastAsia="de-CH"/>
              </w:rPr>
              <w:tab/>
            </w:r>
            <w:r w:rsidR="007C6931" w:rsidRPr="005B368F">
              <w:rPr>
                <w:rStyle w:val="Hyperlink"/>
                <w:noProof/>
              </w:rPr>
              <w:t>Liberazione/convalida dei risultati</w:t>
            </w:r>
            <w:r w:rsidR="007C6931">
              <w:rPr>
                <w:noProof/>
                <w:webHidden/>
              </w:rPr>
              <w:tab/>
            </w:r>
            <w:r w:rsidR="007C6931">
              <w:rPr>
                <w:noProof/>
                <w:webHidden/>
              </w:rPr>
              <w:fldChar w:fldCharType="begin"/>
            </w:r>
            <w:r w:rsidR="007C6931">
              <w:rPr>
                <w:noProof/>
                <w:webHidden/>
              </w:rPr>
              <w:instrText xml:space="preserve"> PAGEREF _Toc161749123 \h </w:instrText>
            </w:r>
            <w:r w:rsidR="007C6931">
              <w:rPr>
                <w:noProof/>
                <w:webHidden/>
              </w:rPr>
            </w:r>
            <w:r w:rsidR="007C6931">
              <w:rPr>
                <w:noProof/>
                <w:webHidden/>
              </w:rPr>
              <w:fldChar w:fldCharType="separate"/>
            </w:r>
            <w:r w:rsidR="007C6931">
              <w:rPr>
                <w:noProof/>
                <w:webHidden/>
              </w:rPr>
              <w:t>26</w:t>
            </w:r>
            <w:r w:rsidR="007C6931">
              <w:rPr>
                <w:noProof/>
                <w:webHidden/>
              </w:rPr>
              <w:fldChar w:fldCharType="end"/>
            </w:r>
          </w:hyperlink>
        </w:p>
        <w:p w14:paraId="622966E1" w14:textId="7010FB46" w:rsidR="007C6931" w:rsidRDefault="00654E10">
          <w:pPr>
            <w:pStyle w:val="Verzeichnis2"/>
            <w:rPr>
              <w:rFonts w:asciiTheme="minorHAnsi" w:eastAsiaTheme="minorEastAsia" w:hAnsiTheme="minorHAnsi"/>
              <w:noProof/>
              <w:sz w:val="22"/>
              <w:lang w:eastAsia="de-CH"/>
            </w:rPr>
          </w:pPr>
          <w:hyperlink w:anchor="_Toc161749124" w:history="1">
            <w:r w:rsidR="007C6931" w:rsidRPr="005B368F">
              <w:rPr>
                <w:rStyle w:val="Hyperlink"/>
                <w:noProof/>
              </w:rPr>
              <w:t>6.3</w:t>
            </w:r>
            <w:r w:rsidR="007C6931">
              <w:rPr>
                <w:rFonts w:asciiTheme="minorHAnsi" w:eastAsiaTheme="minorEastAsia" w:hAnsiTheme="minorHAnsi"/>
                <w:noProof/>
                <w:sz w:val="22"/>
                <w:lang w:eastAsia="de-CH"/>
              </w:rPr>
              <w:tab/>
            </w:r>
            <w:r w:rsidR="007C6931" w:rsidRPr="005B368F">
              <w:rPr>
                <w:rStyle w:val="Hyperlink"/>
                <w:noProof/>
              </w:rPr>
              <w:t>Trasmissione dei risultati</w:t>
            </w:r>
            <w:r w:rsidR="007C6931">
              <w:rPr>
                <w:noProof/>
                <w:webHidden/>
              </w:rPr>
              <w:tab/>
            </w:r>
            <w:r w:rsidR="007C6931">
              <w:rPr>
                <w:noProof/>
                <w:webHidden/>
              </w:rPr>
              <w:fldChar w:fldCharType="begin"/>
            </w:r>
            <w:r w:rsidR="007C6931">
              <w:rPr>
                <w:noProof/>
                <w:webHidden/>
              </w:rPr>
              <w:instrText xml:space="preserve"> PAGEREF _Toc161749124 \h </w:instrText>
            </w:r>
            <w:r w:rsidR="007C6931">
              <w:rPr>
                <w:noProof/>
                <w:webHidden/>
              </w:rPr>
            </w:r>
            <w:r w:rsidR="007C6931">
              <w:rPr>
                <w:noProof/>
                <w:webHidden/>
              </w:rPr>
              <w:fldChar w:fldCharType="separate"/>
            </w:r>
            <w:r w:rsidR="007C6931">
              <w:rPr>
                <w:noProof/>
                <w:webHidden/>
              </w:rPr>
              <w:t>26</w:t>
            </w:r>
            <w:r w:rsidR="007C6931">
              <w:rPr>
                <w:noProof/>
                <w:webHidden/>
              </w:rPr>
              <w:fldChar w:fldCharType="end"/>
            </w:r>
          </w:hyperlink>
        </w:p>
        <w:p w14:paraId="695CB60E" w14:textId="1C402A1A"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25" w:history="1">
            <w:r w:rsidR="007C6931" w:rsidRPr="005B368F">
              <w:rPr>
                <w:rStyle w:val="Hyperlink"/>
                <w:noProof/>
              </w:rPr>
              <w:t>6.3.1</w:t>
            </w:r>
            <w:r w:rsidR="007C6931">
              <w:rPr>
                <w:rFonts w:asciiTheme="minorHAnsi" w:eastAsiaTheme="minorEastAsia" w:hAnsiTheme="minorHAnsi"/>
                <w:noProof/>
                <w:sz w:val="22"/>
                <w:lang w:eastAsia="de-CH"/>
              </w:rPr>
              <w:tab/>
            </w:r>
            <w:r w:rsidR="007C6931" w:rsidRPr="005B368F">
              <w:rPr>
                <w:rStyle w:val="Hyperlink"/>
                <w:noProof/>
              </w:rPr>
              <w:t>Rapporto</w:t>
            </w:r>
            <w:r w:rsidR="007C6931">
              <w:rPr>
                <w:noProof/>
                <w:webHidden/>
              </w:rPr>
              <w:tab/>
            </w:r>
            <w:r w:rsidR="007C6931">
              <w:rPr>
                <w:noProof/>
                <w:webHidden/>
              </w:rPr>
              <w:fldChar w:fldCharType="begin"/>
            </w:r>
            <w:r w:rsidR="007C6931">
              <w:rPr>
                <w:noProof/>
                <w:webHidden/>
              </w:rPr>
              <w:instrText xml:space="preserve"> PAGEREF _Toc161749125 \h </w:instrText>
            </w:r>
            <w:r w:rsidR="007C6931">
              <w:rPr>
                <w:noProof/>
                <w:webHidden/>
              </w:rPr>
            </w:r>
            <w:r w:rsidR="007C6931">
              <w:rPr>
                <w:noProof/>
                <w:webHidden/>
              </w:rPr>
              <w:fldChar w:fldCharType="separate"/>
            </w:r>
            <w:r w:rsidR="007C6931">
              <w:rPr>
                <w:noProof/>
                <w:webHidden/>
              </w:rPr>
              <w:t>26</w:t>
            </w:r>
            <w:r w:rsidR="007C6931">
              <w:rPr>
                <w:noProof/>
                <w:webHidden/>
              </w:rPr>
              <w:fldChar w:fldCharType="end"/>
            </w:r>
          </w:hyperlink>
        </w:p>
        <w:p w14:paraId="24C11BA4" w14:textId="137B3E2F"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26" w:history="1">
            <w:r w:rsidR="007C6931" w:rsidRPr="005B368F">
              <w:rPr>
                <w:rStyle w:val="Hyperlink"/>
                <w:noProof/>
              </w:rPr>
              <w:t>6.3.2</w:t>
            </w:r>
            <w:r w:rsidR="007C6931">
              <w:rPr>
                <w:rFonts w:asciiTheme="minorHAnsi" w:eastAsiaTheme="minorEastAsia" w:hAnsiTheme="minorHAnsi"/>
                <w:noProof/>
                <w:sz w:val="22"/>
                <w:lang w:eastAsia="de-CH"/>
              </w:rPr>
              <w:tab/>
            </w:r>
            <w:r w:rsidR="007C6931" w:rsidRPr="005B368F">
              <w:rPr>
                <w:rStyle w:val="Hyperlink"/>
                <w:noProof/>
              </w:rPr>
              <w:t>Tessera del gruppo sanguigno</w:t>
            </w:r>
            <w:r w:rsidR="007C6931">
              <w:rPr>
                <w:noProof/>
                <w:webHidden/>
              </w:rPr>
              <w:tab/>
            </w:r>
            <w:r w:rsidR="007C6931">
              <w:rPr>
                <w:noProof/>
                <w:webHidden/>
              </w:rPr>
              <w:fldChar w:fldCharType="begin"/>
            </w:r>
            <w:r w:rsidR="007C6931">
              <w:rPr>
                <w:noProof/>
                <w:webHidden/>
              </w:rPr>
              <w:instrText xml:space="preserve"> PAGEREF _Toc161749126 \h </w:instrText>
            </w:r>
            <w:r w:rsidR="007C6931">
              <w:rPr>
                <w:noProof/>
                <w:webHidden/>
              </w:rPr>
            </w:r>
            <w:r w:rsidR="007C6931">
              <w:rPr>
                <w:noProof/>
                <w:webHidden/>
              </w:rPr>
              <w:fldChar w:fldCharType="separate"/>
            </w:r>
            <w:r w:rsidR="007C6931">
              <w:rPr>
                <w:noProof/>
                <w:webHidden/>
              </w:rPr>
              <w:t>26</w:t>
            </w:r>
            <w:r w:rsidR="007C6931">
              <w:rPr>
                <w:noProof/>
                <w:webHidden/>
              </w:rPr>
              <w:fldChar w:fldCharType="end"/>
            </w:r>
          </w:hyperlink>
        </w:p>
        <w:p w14:paraId="1F4E3347" w14:textId="22FC1AF4" w:rsidR="007C6931" w:rsidRDefault="00654E10">
          <w:pPr>
            <w:pStyle w:val="Verzeichnis1"/>
            <w:tabs>
              <w:tab w:val="left" w:pos="400"/>
              <w:tab w:val="right" w:leader="dot" w:pos="9060"/>
            </w:tabs>
            <w:rPr>
              <w:rFonts w:asciiTheme="minorHAnsi" w:eastAsiaTheme="minorEastAsia" w:hAnsiTheme="minorHAnsi"/>
              <w:b w:val="0"/>
              <w:noProof/>
              <w:sz w:val="22"/>
              <w:lang w:eastAsia="de-CH"/>
            </w:rPr>
          </w:pPr>
          <w:hyperlink w:anchor="_Toc161749127" w:history="1">
            <w:r w:rsidR="007C6931" w:rsidRPr="005B368F">
              <w:rPr>
                <w:rStyle w:val="Hyperlink"/>
                <w:noProof/>
              </w:rPr>
              <w:t>7</w:t>
            </w:r>
            <w:r w:rsidR="007C6931">
              <w:rPr>
                <w:rFonts w:asciiTheme="minorHAnsi" w:eastAsiaTheme="minorEastAsia" w:hAnsiTheme="minorHAnsi"/>
                <w:b w:val="0"/>
                <w:noProof/>
                <w:sz w:val="22"/>
                <w:lang w:eastAsia="de-CH"/>
              </w:rPr>
              <w:tab/>
            </w:r>
            <w:r w:rsidR="007C6931" w:rsidRPr="005B368F">
              <w:rPr>
                <w:rStyle w:val="Hyperlink"/>
                <w:noProof/>
              </w:rPr>
              <w:t xml:space="preserve">Gravidanza e pediatria </w:t>
            </w:r>
            <w:r w:rsidR="007C6931" w:rsidRPr="005B368F">
              <w:rPr>
                <w:rStyle w:val="Hyperlink"/>
                <w:rFonts w:cs="Arial"/>
                <w:noProof/>
              </w:rPr>
              <w:t>[13], [17]</w:t>
            </w:r>
            <w:r w:rsidR="007C6931">
              <w:rPr>
                <w:noProof/>
                <w:webHidden/>
              </w:rPr>
              <w:tab/>
            </w:r>
            <w:r w:rsidR="007C6931">
              <w:rPr>
                <w:noProof/>
                <w:webHidden/>
              </w:rPr>
              <w:fldChar w:fldCharType="begin"/>
            </w:r>
            <w:r w:rsidR="007C6931">
              <w:rPr>
                <w:noProof/>
                <w:webHidden/>
              </w:rPr>
              <w:instrText xml:space="preserve"> PAGEREF _Toc161749127 \h </w:instrText>
            </w:r>
            <w:r w:rsidR="007C6931">
              <w:rPr>
                <w:noProof/>
                <w:webHidden/>
              </w:rPr>
            </w:r>
            <w:r w:rsidR="007C6931">
              <w:rPr>
                <w:noProof/>
                <w:webHidden/>
              </w:rPr>
              <w:fldChar w:fldCharType="separate"/>
            </w:r>
            <w:r w:rsidR="007C6931">
              <w:rPr>
                <w:noProof/>
                <w:webHidden/>
              </w:rPr>
              <w:t>27</w:t>
            </w:r>
            <w:r w:rsidR="007C6931">
              <w:rPr>
                <w:noProof/>
                <w:webHidden/>
              </w:rPr>
              <w:fldChar w:fldCharType="end"/>
            </w:r>
          </w:hyperlink>
        </w:p>
        <w:p w14:paraId="1611F653" w14:textId="711960F1" w:rsidR="007C6931" w:rsidRDefault="00654E10">
          <w:pPr>
            <w:pStyle w:val="Verzeichnis2"/>
            <w:rPr>
              <w:rFonts w:asciiTheme="minorHAnsi" w:eastAsiaTheme="minorEastAsia" w:hAnsiTheme="minorHAnsi"/>
              <w:noProof/>
              <w:sz w:val="22"/>
              <w:lang w:eastAsia="de-CH"/>
            </w:rPr>
          </w:pPr>
          <w:hyperlink w:anchor="_Toc161749128" w:history="1">
            <w:r w:rsidR="007C6931" w:rsidRPr="005B368F">
              <w:rPr>
                <w:rStyle w:val="Hyperlink"/>
                <w:noProof/>
              </w:rPr>
              <w:t>7.1</w:t>
            </w:r>
            <w:r w:rsidR="007C6931">
              <w:rPr>
                <w:rFonts w:asciiTheme="minorHAnsi" w:eastAsiaTheme="minorEastAsia" w:hAnsiTheme="minorHAnsi"/>
                <w:noProof/>
                <w:sz w:val="22"/>
                <w:lang w:eastAsia="de-CH"/>
              </w:rPr>
              <w:tab/>
            </w:r>
            <w:r w:rsidR="007C6931" w:rsidRPr="005B368F">
              <w:rPr>
                <w:rStyle w:val="Hyperlink"/>
                <w:noProof/>
              </w:rPr>
              <w:t>Assistenza immunoematologica durante la gravidanza</w:t>
            </w:r>
            <w:r w:rsidR="007C6931">
              <w:rPr>
                <w:noProof/>
                <w:webHidden/>
              </w:rPr>
              <w:tab/>
            </w:r>
            <w:r w:rsidR="007C6931">
              <w:rPr>
                <w:noProof/>
                <w:webHidden/>
              </w:rPr>
              <w:fldChar w:fldCharType="begin"/>
            </w:r>
            <w:r w:rsidR="007C6931">
              <w:rPr>
                <w:noProof/>
                <w:webHidden/>
              </w:rPr>
              <w:instrText xml:space="preserve"> PAGEREF _Toc161749128 \h </w:instrText>
            </w:r>
            <w:r w:rsidR="007C6931">
              <w:rPr>
                <w:noProof/>
                <w:webHidden/>
              </w:rPr>
            </w:r>
            <w:r w:rsidR="007C6931">
              <w:rPr>
                <w:noProof/>
                <w:webHidden/>
              </w:rPr>
              <w:fldChar w:fldCharType="separate"/>
            </w:r>
            <w:r w:rsidR="007C6931">
              <w:rPr>
                <w:noProof/>
                <w:webHidden/>
              </w:rPr>
              <w:t>27</w:t>
            </w:r>
            <w:r w:rsidR="007C6931">
              <w:rPr>
                <w:noProof/>
                <w:webHidden/>
              </w:rPr>
              <w:fldChar w:fldCharType="end"/>
            </w:r>
          </w:hyperlink>
        </w:p>
        <w:p w14:paraId="4A238539" w14:textId="50D60671"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29" w:history="1">
            <w:r w:rsidR="007C6931" w:rsidRPr="005B368F">
              <w:rPr>
                <w:rStyle w:val="Hyperlink"/>
                <w:noProof/>
              </w:rPr>
              <w:t>7.1.1</w:t>
            </w:r>
            <w:r w:rsidR="007C6931">
              <w:rPr>
                <w:rFonts w:asciiTheme="minorHAnsi" w:eastAsiaTheme="minorEastAsia" w:hAnsiTheme="minorHAnsi"/>
                <w:noProof/>
                <w:sz w:val="22"/>
                <w:lang w:eastAsia="de-CH"/>
              </w:rPr>
              <w:tab/>
            </w:r>
            <w:r w:rsidR="007C6931" w:rsidRPr="005B368F">
              <w:rPr>
                <w:rStyle w:val="Hyperlink"/>
                <w:noProof/>
              </w:rPr>
              <w:t>Controllo tra la 8</w:t>
            </w:r>
            <w:r w:rsidR="007C6931" w:rsidRPr="005B368F">
              <w:rPr>
                <w:rStyle w:val="Hyperlink"/>
                <w:noProof/>
                <w:vertAlign w:val="superscript"/>
              </w:rPr>
              <w:t>a</w:t>
            </w:r>
            <w:r w:rsidR="007C6931" w:rsidRPr="005B368F">
              <w:rPr>
                <w:rStyle w:val="Hyperlink"/>
                <w:noProof/>
              </w:rPr>
              <w:t xml:space="preserve"> e la 16</w:t>
            </w:r>
            <w:r w:rsidR="007C6931" w:rsidRPr="005B368F">
              <w:rPr>
                <w:rStyle w:val="Hyperlink"/>
                <w:noProof/>
                <w:vertAlign w:val="superscript"/>
              </w:rPr>
              <w:t>a</w:t>
            </w:r>
            <w:r w:rsidR="007C6931" w:rsidRPr="005B368F">
              <w:rPr>
                <w:rStyle w:val="Hyperlink"/>
                <w:noProof/>
              </w:rPr>
              <w:t xml:space="preserve"> settimana di gravidanza</w:t>
            </w:r>
            <w:r w:rsidR="007C6931">
              <w:rPr>
                <w:noProof/>
                <w:webHidden/>
              </w:rPr>
              <w:tab/>
            </w:r>
            <w:r w:rsidR="007C6931">
              <w:rPr>
                <w:noProof/>
                <w:webHidden/>
              </w:rPr>
              <w:fldChar w:fldCharType="begin"/>
            </w:r>
            <w:r w:rsidR="007C6931">
              <w:rPr>
                <w:noProof/>
                <w:webHidden/>
              </w:rPr>
              <w:instrText xml:space="preserve"> PAGEREF _Toc161749129 \h </w:instrText>
            </w:r>
            <w:r w:rsidR="007C6931">
              <w:rPr>
                <w:noProof/>
                <w:webHidden/>
              </w:rPr>
            </w:r>
            <w:r w:rsidR="007C6931">
              <w:rPr>
                <w:noProof/>
                <w:webHidden/>
              </w:rPr>
              <w:fldChar w:fldCharType="separate"/>
            </w:r>
            <w:r w:rsidR="007C6931">
              <w:rPr>
                <w:noProof/>
                <w:webHidden/>
              </w:rPr>
              <w:t>27</w:t>
            </w:r>
            <w:r w:rsidR="007C6931">
              <w:rPr>
                <w:noProof/>
                <w:webHidden/>
              </w:rPr>
              <w:fldChar w:fldCharType="end"/>
            </w:r>
          </w:hyperlink>
        </w:p>
        <w:p w14:paraId="4FBAC8F4" w14:textId="56C7E85B"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30" w:history="1">
            <w:r w:rsidR="007C6931" w:rsidRPr="005B368F">
              <w:rPr>
                <w:rStyle w:val="Hyperlink"/>
                <w:noProof/>
              </w:rPr>
              <w:t>7.1.2</w:t>
            </w:r>
            <w:r w:rsidR="007C6931">
              <w:rPr>
                <w:rFonts w:asciiTheme="minorHAnsi" w:eastAsiaTheme="minorEastAsia" w:hAnsiTheme="minorHAnsi"/>
                <w:noProof/>
                <w:sz w:val="22"/>
                <w:lang w:eastAsia="de-CH"/>
              </w:rPr>
              <w:tab/>
            </w:r>
            <w:r w:rsidR="007C6931" w:rsidRPr="005B368F">
              <w:rPr>
                <w:rStyle w:val="Hyperlink"/>
                <w:noProof/>
              </w:rPr>
              <w:t>Controllo nella 28</w:t>
            </w:r>
            <w:r w:rsidR="007C6931" w:rsidRPr="005B368F">
              <w:rPr>
                <w:rStyle w:val="Hyperlink"/>
                <w:noProof/>
                <w:vertAlign w:val="superscript"/>
              </w:rPr>
              <w:t>a</w:t>
            </w:r>
            <w:r w:rsidR="007C6931" w:rsidRPr="005B368F">
              <w:rPr>
                <w:rStyle w:val="Hyperlink"/>
                <w:noProof/>
              </w:rPr>
              <w:t xml:space="preserve"> settimana di gravidanza</w:t>
            </w:r>
            <w:r w:rsidR="007C6931">
              <w:rPr>
                <w:noProof/>
                <w:webHidden/>
              </w:rPr>
              <w:tab/>
            </w:r>
            <w:r w:rsidR="007C6931">
              <w:rPr>
                <w:noProof/>
                <w:webHidden/>
              </w:rPr>
              <w:fldChar w:fldCharType="begin"/>
            </w:r>
            <w:r w:rsidR="007C6931">
              <w:rPr>
                <w:noProof/>
                <w:webHidden/>
              </w:rPr>
              <w:instrText xml:space="preserve"> PAGEREF _Toc161749130 \h </w:instrText>
            </w:r>
            <w:r w:rsidR="007C6931">
              <w:rPr>
                <w:noProof/>
                <w:webHidden/>
              </w:rPr>
            </w:r>
            <w:r w:rsidR="007C6931">
              <w:rPr>
                <w:noProof/>
                <w:webHidden/>
              </w:rPr>
              <w:fldChar w:fldCharType="separate"/>
            </w:r>
            <w:r w:rsidR="007C6931">
              <w:rPr>
                <w:noProof/>
                <w:webHidden/>
              </w:rPr>
              <w:t>27</w:t>
            </w:r>
            <w:r w:rsidR="007C6931">
              <w:rPr>
                <w:noProof/>
                <w:webHidden/>
              </w:rPr>
              <w:fldChar w:fldCharType="end"/>
            </w:r>
          </w:hyperlink>
        </w:p>
        <w:p w14:paraId="4BBC0C09" w14:textId="3FE7280A"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31" w:history="1">
            <w:r w:rsidR="007C6931" w:rsidRPr="005B368F">
              <w:rPr>
                <w:rStyle w:val="Hyperlink"/>
                <w:noProof/>
              </w:rPr>
              <w:t>7.1.3</w:t>
            </w:r>
            <w:r w:rsidR="007C6931">
              <w:rPr>
                <w:rFonts w:asciiTheme="minorHAnsi" w:eastAsiaTheme="minorEastAsia" w:hAnsiTheme="minorHAnsi"/>
                <w:noProof/>
                <w:sz w:val="22"/>
                <w:lang w:eastAsia="de-CH"/>
              </w:rPr>
              <w:tab/>
            </w:r>
            <w:r w:rsidR="007C6931" w:rsidRPr="005B368F">
              <w:rPr>
                <w:rStyle w:val="Hyperlink"/>
                <w:noProof/>
              </w:rPr>
              <w:t>Donne in gravidanza con varianti RH1</w:t>
            </w:r>
            <w:r w:rsidR="007C6931">
              <w:rPr>
                <w:noProof/>
                <w:webHidden/>
              </w:rPr>
              <w:tab/>
            </w:r>
            <w:r w:rsidR="007C6931">
              <w:rPr>
                <w:noProof/>
                <w:webHidden/>
              </w:rPr>
              <w:fldChar w:fldCharType="begin"/>
            </w:r>
            <w:r w:rsidR="007C6931">
              <w:rPr>
                <w:noProof/>
                <w:webHidden/>
              </w:rPr>
              <w:instrText xml:space="preserve"> PAGEREF _Toc161749131 \h </w:instrText>
            </w:r>
            <w:r w:rsidR="007C6931">
              <w:rPr>
                <w:noProof/>
                <w:webHidden/>
              </w:rPr>
            </w:r>
            <w:r w:rsidR="007C6931">
              <w:rPr>
                <w:noProof/>
                <w:webHidden/>
              </w:rPr>
              <w:fldChar w:fldCharType="separate"/>
            </w:r>
            <w:r w:rsidR="007C6931">
              <w:rPr>
                <w:noProof/>
                <w:webHidden/>
              </w:rPr>
              <w:t>27</w:t>
            </w:r>
            <w:r w:rsidR="007C6931">
              <w:rPr>
                <w:noProof/>
                <w:webHidden/>
              </w:rPr>
              <w:fldChar w:fldCharType="end"/>
            </w:r>
          </w:hyperlink>
        </w:p>
        <w:p w14:paraId="0826957B" w14:textId="168EAECA"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32" w:history="1">
            <w:r w:rsidR="007C6931" w:rsidRPr="005B368F">
              <w:rPr>
                <w:rStyle w:val="Hyperlink"/>
                <w:noProof/>
              </w:rPr>
              <w:t>7.1.4</w:t>
            </w:r>
            <w:r w:rsidR="007C6931">
              <w:rPr>
                <w:rFonts w:asciiTheme="minorHAnsi" w:eastAsiaTheme="minorEastAsia" w:hAnsiTheme="minorHAnsi"/>
                <w:noProof/>
                <w:sz w:val="22"/>
                <w:lang w:eastAsia="de-CH"/>
              </w:rPr>
              <w:tab/>
            </w:r>
            <w:r w:rsidR="007C6931" w:rsidRPr="005B368F">
              <w:rPr>
                <w:rStyle w:val="Hyperlink"/>
                <w:noProof/>
              </w:rPr>
              <w:t xml:space="preserve">Determinazione fetale </w:t>
            </w:r>
            <w:r w:rsidR="007C6931" w:rsidRPr="005B368F">
              <w:rPr>
                <w:rStyle w:val="Hyperlink"/>
                <w:i/>
                <w:noProof/>
              </w:rPr>
              <w:t>RHD</w:t>
            </w:r>
            <w:r w:rsidR="007C6931" w:rsidRPr="005B368F">
              <w:rPr>
                <w:rStyle w:val="Hyperlink"/>
                <w:noProof/>
              </w:rPr>
              <w:t xml:space="preserve"> da sangue materno</w:t>
            </w:r>
            <w:r w:rsidR="007C6931">
              <w:rPr>
                <w:noProof/>
                <w:webHidden/>
              </w:rPr>
              <w:tab/>
            </w:r>
            <w:r w:rsidR="007C6931">
              <w:rPr>
                <w:noProof/>
                <w:webHidden/>
              </w:rPr>
              <w:fldChar w:fldCharType="begin"/>
            </w:r>
            <w:r w:rsidR="007C6931">
              <w:rPr>
                <w:noProof/>
                <w:webHidden/>
              </w:rPr>
              <w:instrText xml:space="preserve"> PAGEREF _Toc161749132 \h </w:instrText>
            </w:r>
            <w:r w:rsidR="007C6931">
              <w:rPr>
                <w:noProof/>
                <w:webHidden/>
              </w:rPr>
            </w:r>
            <w:r w:rsidR="007C6931">
              <w:rPr>
                <w:noProof/>
                <w:webHidden/>
              </w:rPr>
              <w:fldChar w:fldCharType="separate"/>
            </w:r>
            <w:r w:rsidR="007C6931">
              <w:rPr>
                <w:noProof/>
                <w:webHidden/>
              </w:rPr>
              <w:t>27</w:t>
            </w:r>
            <w:r w:rsidR="007C6931">
              <w:rPr>
                <w:noProof/>
                <w:webHidden/>
              </w:rPr>
              <w:fldChar w:fldCharType="end"/>
            </w:r>
          </w:hyperlink>
        </w:p>
        <w:p w14:paraId="4B414BDA" w14:textId="16AD1007"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33" w:history="1">
            <w:r w:rsidR="007C6931" w:rsidRPr="005B368F">
              <w:rPr>
                <w:rStyle w:val="Hyperlink"/>
                <w:noProof/>
              </w:rPr>
              <w:t>7.1.5</w:t>
            </w:r>
            <w:r w:rsidR="007C6931">
              <w:rPr>
                <w:rFonts w:asciiTheme="minorHAnsi" w:eastAsiaTheme="minorEastAsia" w:hAnsiTheme="minorHAnsi"/>
                <w:noProof/>
                <w:sz w:val="22"/>
                <w:lang w:eastAsia="de-CH"/>
              </w:rPr>
              <w:tab/>
            </w:r>
            <w:r w:rsidR="007C6931" w:rsidRPr="005B368F">
              <w:rPr>
                <w:rStyle w:val="Hyperlink"/>
                <w:noProof/>
              </w:rPr>
              <w:t>Profilassi con immunoglobulina RH</w:t>
            </w:r>
            <w:r w:rsidR="007C6931">
              <w:rPr>
                <w:noProof/>
                <w:webHidden/>
              </w:rPr>
              <w:tab/>
            </w:r>
            <w:r w:rsidR="007C6931">
              <w:rPr>
                <w:noProof/>
                <w:webHidden/>
              </w:rPr>
              <w:fldChar w:fldCharType="begin"/>
            </w:r>
            <w:r w:rsidR="007C6931">
              <w:rPr>
                <w:noProof/>
                <w:webHidden/>
              </w:rPr>
              <w:instrText xml:space="preserve"> PAGEREF _Toc161749133 \h </w:instrText>
            </w:r>
            <w:r w:rsidR="007C6931">
              <w:rPr>
                <w:noProof/>
                <w:webHidden/>
              </w:rPr>
            </w:r>
            <w:r w:rsidR="007C6931">
              <w:rPr>
                <w:noProof/>
                <w:webHidden/>
              </w:rPr>
              <w:fldChar w:fldCharType="separate"/>
            </w:r>
            <w:r w:rsidR="007C6931">
              <w:rPr>
                <w:noProof/>
                <w:webHidden/>
              </w:rPr>
              <w:t>27</w:t>
            </w:r>
            <w:r w:rsidR="007C6931">
              <w:rPr>
                <w:noProof/>
                <w:webHidden/>
              </w:rPr>
              <w:fldChar w:fldCharType="end"/>
            </w:r>
          </w:hyperlink>
        </w:p>
        <w:p w14:paraId="2307BE91" w14:textId="363EC6B7"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34" w:history="1">
            <w:r w:rsidR="007C6931" w:rsidRPr="005B368F">
              <w:rPr>
                <w:rStyle w:val="Hyperlink"/>
                <w:noProof/>
              </w:rPr>
              <w:t>7.1.6</w:t>
            </w:r>
            <w:r w:rsidR="007C6931">
              <w:rPr>
                <w:rFonts w:asciiTheme="minorHAnsi" w:eastAsiaTheme="minorEastAsia" w:hAnsiTheme="minorHAnsi"/>
                <w:noProof/>
                <w:sz w:val="22"/>
                <w:lang w:eastAsia="de-CH"/>
              </w:rPr>
              <w:tab/>
            </w:r>
            <w:r w:rsidR="007C6931" w:rsidRPr="005B368F">
              <w:rPr>
                <w:rStyle w:val="Hyperlink"/>
                <w:noProof/>
              </w:rPr>
              <w:t>Alloanticorpi in gravidanza</w:t>
            </w:r>
            <w:r w:rsidR="007C6931">
              <w:rPr>
                <w:noProof/>
                <w:webHidden/>
              </w:rPr>
              <w:tab/>
            </w:r>
            <w:r w:rsidR="007C6931">
              <w:rPr>
                <w:noProof/>
                <w:webHidden/>
              </w:rPr>
              <w:fldChar w:fldCharType="begin"/>
            </w:r>
            <w:r w:rsidR="007C6931">
              <w:rPr>
                <w:noProof/>
                <w:webHidden/>
              </w:rPr>
              <w:instrText xml:space="preserve"> PAGEREF _Toc161749134 \h </w:instrText>
            </w:r>
            <w:r w:rsidR="007C6931">
              <w:rPr>
                <w:noProof/>
                <w:webHidden/>
              </w:rPr>
            </w:r>
            <w:r w:rsidR="007C6931">
              <w:rPr>
                <w:noProof/>
                <w:webHidden/>
              </w:rPr>
              <w:fldChar w:fldCharType="separate"/>
            </w:r>
            <w:r w:rsidR="007C6931">
              <w:rPr>
                <w:noProof/>
                <w:webHidden/>
              </w:rPr>
              <w:t>28</w:t>
            </w:r>
            <w:r w:rsidR="007C6931">
              <w:rPr>
                <w:noProof/>
                <w:webHidden/>
              </w:rPr>
              <w:fldChar w:fldCharType="end"/>
            </w:r>
          </w:hyperlink>
        </w:p>
        <w:p w14:paraId="7B268861" w14:textId="1873C15A" w:rsidR="007C6931" w:rsidRDefault="00654E10">
          <w:pPr>
            <w:pStyle w:val="Verzeichnis2"/>
            <w:rPr>
              <w:rFonts w:asciiTheme="minorHAnsi" w:eastAsiaTheme="minorEastAsia" w:hAnsiTheme="minorHAnsi"/>
              <w:noProof/>
              <w:sz w:val="22"/>
              <w:lang w:eastAsia="de-CH"/>
            </w:rPr>
          </w:pPr>
          <w:hyperlink w:anchor="_Toc161749135" w:history="1">
            <w:r w:rsidR="007C6931" w:rsidRPr="005B368F">
              <w:rPr>
                <w:rStyle w:val="Hyperlink"/>
                <w:noProof/>
              </w:rPr>
              <w:t>7.2</w:t>
            </w:r>
            <w:r w:rsidR="007C6931">
              <w:rPr>
                <w:rFonts w:asciiTheme="minorHAnsi" w:eastAsiaTheme="minorEastAsia" w:hAnsiTheme="minorHAnsi"/>
                <w:noProof/>
                <w:sz w:val="22"/>
                <w:lang w:eastAsia="de-CH"/>
              </w:rPr>
              <w:tab/>
            </w:r>
            <w:r w:rsidR="007C6931" w:rsidRPr="005B368F">
              <w:rPr>
                <w:rStyle w:val="Hyperlink"/>
                <w:noProof/>
              </w:rPr>
              <w:t>Analisi sul neonato e sul bambino fino a quattro mesi</w:t>
            </w:r>
            <w:r w:rsidR="007C6931">
              <w:rPr>
                <w:noProof/>
                <w:webHidden/>
              </w:rPr>
              <w:tab/>
            </w:r>
            <w:r w:rsidR="007C6931">
              <w:rPr>
                <w:noProof/>
                <w:webHidden/>
              </w:rPr>
              <w:fldChar w:fldCharType="begin"/>
            </w:r>
            <w:r w:rsidR="007C6931">
              <w:rPr>
                <w:noProof/>
                <w:webHidden/>
              </w:rPr>
              <w:instrText xml:space="preserve"> PAGEREF _Toc161749135 \h </w:instrText>
            </w:r>
            <w:r w:rsidR="007C6931">
              <w:rPr>
                <w:noProof/>
                <w:webHidden/>
              </w:rPr>
            </w:r>
            <w:r w:rsidR="007C6931">
              <w:rPr>
                <w:noProof/>
                <w:webHidden/>
              </w:rPr>
              <w:fldChar w:fldCharType="separate"/>
            </w:r>
            <w:r w:rsidR="007C6931">
              <w:rPr>
                <w:noProof/>
                <w:webHidden/>
              </w:rPr>
              <w:t>28</w:t>
            </w:r>
            <w:r w:rsidR="007C6931">
              <w:rPr>
                <w:noProof/>
                <w:webHidden/>
              </w:rPr>
              <w:fldChar w:fldCharType="end"/>
            </w:r>
          </w:hyperlink>
        </w:p>
        <w:p w14:paraId="104AEAED" w14:textId="1B5A44BD"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36" w:history="1">
            <w:r w:rsidR="007C6931" w:rsidRPr="005B368F">
              <w:rPr>
                <w:rStyle w:val="Hyperlink"/>
                <w:noProof/>
              </w:rPr>
              <w:t>7.2.1</w:t>
            </w:r>
            <w:r w:rsidR="007C6931">
              <w:rPr>
                <w:rFonts w:asciiTheme="minorHAnsi" w:eastAsiaTheme="minorEastAsia" w:hAnsiTheme="minorHAnsi"/>
                <w:noProof/>
                <w:sz w:val="22"/>
                <w:lang w:eastAsia="de-CH"/>
              </w:rPr>
              <w:tab/>
            </w:r>
            <w:r w:rsidR="007C6931" w:rsidRPr="005B368F">
              <w:rPr>
                <w:rStyle w:val="Hyperlink"/>
                <w:noProof/>
              </w:rPr>
              <w:t>Campioni di sangue</w:t>
            </w:r>
            <w:r w:rsidR="007C6931">
              <w:rPr>
                <w:noProof/>
                <w:webHidden/>
              </w:rPr>
              <w:tab/>
            </w:r>
            <w:r w:rsidR="007C6931">
              <w:rPr>
                <w:noProof/>
                <w:webHidden/>
              </w:rPr>
              <w:fldChar w:fldCharType="begin"/>
            </w:r>
            <w:r w:rsidR="007C6931">
              <w:rPr>
                <w:noProof/>
                <w:webHidden/>
              </w:rPr>
              <w:instrText xml:space="preserve"> PAGEREF _Toc161749136 \h </w:instrText>
            </w:r>
            <w:r w:rsidR="007C6931">
              <w:rPr>
                <w:noProof/>
                <w:webHidden/>
              </w:rPr>
            </w:r>
            <w:r w:rsidR="007C6931">
              <w:rPr>
                <w:noProof/>
                <w:webHidden/>
              </w:rPr>
              <w:fldChar w:fldCharType="separate"/>
            </w:r>
            <w:r w:rsidR="007C6931">
              <w:rPr>
                <w:noProof/>
                <w:webHidden/>
              </w:rPr>
              <w:t>28</w:t>
            </w:r>
            <w:r w:rsidR="007C6931">
              <w:rPr>
                <w:noProof/>
                <w:webHidden/>
              </w:rPr>
              <w:fldChar w:fldCharType="end"/>
            </w:r>
          </w:hyperlink>
        </w:p>
        <w:p w14:paraId="252338FA" w14:textId="04ABE890"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37" w:history="1">
            <w:r w:rsidR="007C6931" w:rsidRPr="005B368F">
              <w:rPr>
                <w:rStyle w:val="Hyperlink"/>
                <w:noProof/>
              </w:rPr>
              <w:t>7.2.2</w:t>
            </w:r>
            <w:r w:rsidR="007C6931">
              <w:rPr>
                <w:rFonts w:asciiTheme="minorHAnsi" w:eastAsiaTheme="minorEastAsia" w:hAnsiTheme="minorHAnsi"/>
                <w:noProof/>
                <w:sz w:val="22"/>
                <w:lang w:eastAsia="de-CH"/>
              </w:rPr>
              <w:tab/>
            </w:r>
            <w:r w:rsidR="007C6931" w:rsidRPr="005B368F">
              <w:rPr>
                <w:rStyle w:val="Hyperlink"/>
                <w:noProof/>
              </w:rPr>
              <w:t>Determinazione del gruppo sanguigno ABO e antigene RH1</w:t>
            </w:r>
            <w:r w:rsidR="007C6931">
              <w:rPr>
                <w:noProof/>
                <w:webHidden/>
              </w:rPr>
              <w:tab/>
            </w:r>
            <w:r w:rsidR="007C6931">
              <w:rPr>
                <w:noProof/>
                <w:webHidden/>
              </w:rPr>
              <w:fldChar w:fldCharType="begin"/>
            </w:r>
            <w:r w:rsidR="007C6931">
              <w:rPr>
                <w:noProof/>
                <w:webHidden/>
              </w:rPr>
              <w:instrText xml:space="preserve"> PAGEREF _Toc161749137 \h </w:instrText>
            </w:r>
            <w:r w:rsidR="007C6931">
              <w:rPr>
                <w:noProof/>
                <w:webHidden/>
              </w:rPr>
            </w:r>
            <w:r w:rsidR="007C6931">
              <w:rPr>
                <w:noProof/>
                <w:webHidden/>
              </w:rPr>
              <w:fldChar w:fldCharType="separate"/>
            </w:r>
            <w:r w:rsidR="007C6931">
              <w:rPr>
                <w:noProof/>
                <w:webHidden/>
              </w:rPr>
              <w:t>28</w:t>
            </w:r>
            <w:r w:rsidR="007C6931">
              <w:rPr>
                <w:noProof/>
                <w:webHidden/>
              </w:rPr>
              <w:fldChar w:fldCharType="end"/>
            </w:r>
          </w:hyperlink>
        </w:p>
        <w:p w14:paraId="534D8F1C" w14:textId="398ABB4C"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38" w:history="1">
            <w:r w:rsidR="007C6931" w:rsidRPr="005B368F">
              <w:rPr>
                <w:rStyle w:val="Hyperlink"/>
                <w:noProof/>
              </w:rPr>
              <w:t>7.2.3</w:t>
            </w:r>
            <w:r w:rsidR="007C6931">
              <w:rPr>
                <w:rFonts w:asciiTheme="minorHAnsi" w:eastAsiaTheme="minorEastAsia" w:hAnsiTheme="minorHAnsi"/>
                <w:noProof/>
                <w:sz w:val="22"/>
                <w:lang w:eastAsia="de-CH"/>
              </w:rPr>
              <w:tab/>
            </w:r>
            <w:r w:rsidR="007C6931" w:rsidRPr="005B368F">
              <w:rPr>
                <w:rStyle w:val="Hyperlink"/>
                <w:noProof/>
              </w:rPr>
              <w:t>Test di Coombs diretto</w:t>
            </w:r>
            <w:r w:rsidR="007C6931">
              <w:rPr>
                <w:noProof/>
                <w:webHidden/>
              </w:rPr>
              <w:tab/>
            </w:r>
            <w:r w:rsidR="007C6931">
              <w:rPr>
                <w:noProof/>
                <w:webHidden/>
              </w:rPr>
              <w:fldChar w:fldCharType="begin"/>
            </w:r>
            <w:r w:rsidR="007C6931">
              <w:rPr>
                <w:noProof/>
                <w:webHidden/>
              </w:rPr>
              <w:instrText xml:space="preserve"> PAGEREF _Toc161749138 \h </w:instrText>
            </w:r>
            <w:r w:rsidR="007C6931">
              <w:rPr>
                <w:noProof/>
                <w:webHidden/>
              </w:rPr>
            </w:r>
            <w:r w:rsidR="007C6931">
              <w:rPr>
                <w:noProof/>
                <w:webHidden/>
              </w:rPr>
              <w:fldChar w:fldCharType="separate"/>
            </w:r>
            <w:r w:rsidR="007C6931">
              <w:rPr>
                <w:noProof/>
                <w:webHidden/>
              </w:rPr>
              <w:t>29</w:t>
            </w:r>
            <w:r w:rsidR="007C6931">
              <w:rPr>
                <w:noProof/>
                <w:webHidden/>
              </w:rPr>
              <w:fldChar w:fldCharType="end"/>
            </w:r>
          </w:hyperlink>
        </w:p>
        <w:p w14:paraId="6177F92A" w14:textId="3BA17D57"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39" w:history="1">
            <w:r w:rsidR="007C6931" w:rsidRPr="005B368F">
              <w:rPr>
                <w:rStyle w:val="Hyperlink"/>
                <w:noProof/>
              </w:rPr>
              <w:t>7.2.4</w:t>
            </w:r>
            <w:r w:rsidR="007C6931">
              <w:rPr>
                <w:rFonts w:asciiTheme="minorHAnsi" w:eastAsiaTheme="minorEastAsia" w:hAnsiTheme="minorHAnsi"/>
                <w:noProof/>
                <w:sz w:val="22"/>
                <w:lang w:eastAsia="de-CH"/>
              </w:rPr>
              <w:tab/>
            </w:r>
            <w:r w:rsidR="007C6931" w:rsidRPr="005B368F">
              <w:rPr>
                <w:rStyle w:val="Hyperlink"/>
                <w:noProof/>
              </w:rPr>
              <w:t xml:space="preserve">Indagini pretrasfusionali </w:t>
            </w:r>
            <w:r w:rsidR="007C6931" w:rsidRPr="005B368F">
              <w:rPr>
                <w:rStyle w:val="Hyperlink"/>
                <w:rFonts w:cs="Arial"/>
                <w:noProof/>
              </w:rPr>
              <w:t>[18], [22]</w:t>
            </w:r>
            <w:r w:rsidR="007C6931">
              <w:rPr>
                <w:noProof/>
                <w:webHidden/>
              </w:rPr>
              <w:tab/>
            </w:r>
            <w:r w:rsidR="007C6931">
              <w:rPr>
                <w:noProof/>
                <w:webHidden/>
              </w:rPr>
              <w:fldChar w:fldCharType="begin"/>
            </w:r>
            <w:r w:rsidR="007C6931">
              <w:rPr>
                <w:noProof/>
                <w:webHidden/>
              </w:rPr>
              <w:instrText xml:space="preserve"> PAGEREF _Toc161749139 \h </w:instrText>
            </w:r>
            <w:r w:rsidR="007C6931">
              <w:rPr>
                <w:noProof/>
                <w:webHidden/>
              </w:rPr>
            </w:r>
            <w:r w:rsidR="007C6931">
              <w:rPr>
                <w:noProof/>
                <w:webHidden/>
              </w:rPr>
              <w:fldChar w:fldCharType="separate"/>
            </w:r>
            <w:r w:rsidR="007C6931">
              <w:rPr>
                <w:noProof/>
                <w:webHidden/>
              </w:rPr>
              <w:t>29</w:t>
            </w:r>
            <w:r w:rsidR="007C6931">
              <w:rPr>
                <w:noProof/>
                <w:webHidden/>
              </w:rPr>
              <w:fldChar w:fldCharType="end"/>
            </w:r>
          </w:hyperlink>
        </w:p>
        <w:p w14:paraId="529EB1D9" w14:textId="563522DE"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40" w:history="1">
            <w:r w:rsidR="007C6931" w:rsidRPr="005B368F">
              <w:rPr>
                <w:rStyle w:val="Hyperlink"/>
                <w:noProof/>
              </w:rPr>
              <w:t>7.2.5</w:t>
            </w:r>
            <w:r w:rsidR="007C6931">
              <w:rPr>
                <w:rFonts w:asciiTheme="minorHAnsi" w:eastAsiaTheme="minorEastAsia" w:hAnsiTheme="minorHAnsi"/>
                <w:noProof/>
                <w:sz w:val="22"/>
                <w:lang w:eastAsia="de-CH"/>
              </w:rPr>
              <w:tab/>
            </w:r>
            <w:r w:rsidR="007C6931" w:rsidRPr="005B368F">
              <w:rPr>
                <w:rStyle w:val="Hyperlink"/>
                <w:noProof/>
              </w:rPr>
              <w:t>Risultati</w:t>
            </w:r>
            <w:r w:rsidR="007C6931">
              <w:rPr>
                <w:noProof/>
                <w:webHidden/>
              </w:rPr>
              <w:tab/>
            </w:r>
            <w:r w:rsidR="007C6931">
              <w:rPr>
                <w:noProof/>
                <w:webHidden/>
              </w:rPr>
              <w:fldChar w:fldCharType="begin"/>
            </w:r>
            <w:r w:rsidR="007C6931">
              <w:rPr>
                <w:noProof/>
                <w:webHidden/>
              </w:rPr>
              <w:instrText xml:space="preserve"> PAGEREF _Toc161749140 \h </w:instrText>
            </w:r>
            <w:r w:rsidR="007C6931">
              <w:rPr>
                <w:noProof/>
                <w:webHidden/>
              </w:rPr>
            </w:r>
            <w:r w:rsidR="007C6931">
              <w:rPr>
                <w:noProof/>
                <w:webHidden/>
              </w:rPr>
              <w:fldChar w:fldCharType="separate"/>
            </w:r>
            <w:r w:rsidR="007C6931">
              <w:rPr>
                <w:noProof/>
                <w:webHidden/>
              </w:rPr>
              <w:t>29</w:t>
            </w:r>
            <w:r w:rsidR="007C6931">
              <w:rPr>
                <w:noProof/>
                <w:webHidden/>
              </w:rPr>
              <w:fldChar w:fldCharType="end"/>
            </w:r>
          </w:hyperlink>
        </w:p>
        <w:p w14:paraId="2D19B9C2" w14:textId="49AD1BE6" w:rsidR="007C6931" w:rsidRDefault="00654E10">
          <w:pPr>
            <w:pStyle w:val="Verzeichnis2"/>
            <w:rPr>
              <w:rFonts w:asciiTheme="minorHAnsi" w:eastAsiaTheme="minorEastAsia" w:hAnsiTheme="minorHAnsi"/>
              <w:noProof/>
              <w:sz w:val="22"/>
              <w:lang w:eastAsia="de-CH"/>
            </w:rPr>
          </w:pPr>
          <w:hyperlink w:anchor="_Toc161749141" w:history="1">
            <w:r w:rsidR="007C6931" w:rsidRPr="005B368F">
              <w:rPr>
                <w:rStyle w:val="Hyperlink"/>
                <w:noProof/>
              </w:rPr>
              <w:t>7.3</w:t>
            </w:r>
            <w:r w:rsidR="007C6931">
              <w:rPr>
                <w:rFonts w:asciiTheme="minorHAnsi" w:eastAsiaTheme="minorEastAsia" w:hAnsiTheme="minorHAnsi"/>
                <w:noProof/>
                <w:sz w:val="22"/>
                <w:lang w:eastAsia="de-CH"/>
              </w:rPr>
              <w:tab/>
            </w:r>
            <w:r w:rsidR="007C6931" w:rsidRPr="005B368F">
              <w:rPr>
                <w:rStyle w:val="Hyperlink"/>
                <w:noProof/>
              </w:rPr>
              <w:t>Analisi nel bambino dai quattro mesi</w:t>
            </w:r>
            <w:r w:rsidR="007C6931">
              <w:rPr>
                <w:noProof/>
                <w:webHidden/>
              </w:rPr>
              <w:tab/>
            </w:r>
            <w:r w:rsidR="007C6931">
              <w:rPr>
                <w:noProof/>
                <w:webHidden/>
              </w:rPr>
              <w:fldChar w:fldCharType="begin"/>
            </w:r>
            <w:r w:rsidR="007C6931">
              <w:rPr>
                <w:noProof/>
                <w:webHidden/>
              </w:rPr>
              <w:instrText xml:space="preserve"> PAGEREF _Toc161749141 \h </w:instrText>
            </w:r>
            <w:r w:rsidR="007C6931">
              <w:rPr>
                <w:noProof/>
                <w:webHidden/>
              </w:rPr>
            </w:r>
            <w:r w:rsidR="007C6931">
              <w:rPr>
                <w:noProof/>
                <w:webHidden/>
              </w:rPr>
              <w:fldChar w:fldCharType="separate"/>
            </w:r>
            <w:r w:rsidR="007C6931">
              <w:rPr>
                <w:noProof/>
                <w:webHidden/>
              </w:rPr>
              <w:t>29</w:t>
            </w:r>
            <w:r w:rsidR="007C6931">
              <w:rPr>
                <w:noProof/>
                <w:webHidden/>
              </w:rPr>
              <w:fldChar w:fldCharType="end"/>
            </w:r>
          </w:hyperlink>
        </w:p>
        <w:p w14:paraId="4EF81ED8" w14:textId="2ACF0D64" w:rsidR="007C6931" w:rsidRDefault="00654E10">
          <w:pPr>
            <w:pStyle w:val="Verzeichnis2"/>
            <w:rPr>
              <w:rFonts w:asciiTheme="minorHAnsi" w:eastAsiaTheme="minorEastAsia" w:hAnsiTheme="minorHAnsi"/>
              <w:noProof/>
              <w:sz w:val="22"/>
              <w:lang w:eastAsia="de-CH"/>
            </w:rPr>
          </w:pPr>
          <w:hyperlink w:anchor="_Toc161749142" w:history="1">
            <w:r w:rsidR="007C6931" w:rsidRPr="005B368F">
              <w:rPr>
                <w:rStyle w:val="Hyperlink"/>
                <w:noProof/>
              </w:rPr>
              <w:t>7.4</w:t>
            </w:r>
            <w:r w:rsidR="007C6931">
              <w:rPr>
                <w:rFonts w:asciiTheme="minorHAnsi" w:eastAsiaTheme="minorEastAsia" w:hAnsiTheme="minorHAnsi"/>
                <w:noProof/>
                <w:sz w:val="22"/>
                <w:lang w:eastAsia="de-CH"/>
              </w:rPr>
              <w:tab/>
            </w:r>
            <w:r w:rsidR="007C6931" w:rsidRPr="005B368F">
              <w:rPr>
                <w:rStyle w:val="Hyperlink"/>
                <w:noProof/>
              </w:rPr>
              <w:t>Trasfusioni nel bambino</w:t>
            </w:r>
            <w:r w:rsidR="007C6931">
              <w:rPr>
                <w:noProof/>
                <w:webHidden/>
              </w:rPr>
              <w:tab/>
            </w:r>
            <w:r w:rsidR="007C6931">
              <w:rPr>
                <w:noProof/>
                <w:webHidden/>
              </w:rPr>
              <w:fldChar w:fldCharType="begin"/>
            </w:r>
            <w:r w:rsidR="007C6931">
              <w:rPr>
                <w:noProof/>
                <w:webHidden/>
              </w:rPr>
              <w:instrText xml:space="preserve"> PAGEREF _Toc161749142 \h </w:instrText>
            </w:r>
            <w:r w:rsidR="007C6931">
              <w:rPr>
                <w:noProof/>
                <w:webHidden/>
              </w:rPr>
            </w:r>
            <w:r w:rsidR="007C6931">
              <w:rPr>
                <w:noProof/>
                <w:webHidden/>
              </w:rPr>
              <w:fldChar w:fldCharType="separate"/>
            </w:r>
            <w:r w:rsidR="007C6931">
              <w:rPr>
                <w:noProof/>
                <w:webHidden/>
              </w:rPr>
              <w:t>29</w:t>
            </w:r>
            <w:r w:rsidR="007C6931">
              <w:rPr>
                <w:noProof/>
                <w:webHidden/>
              </w:rPr>
              <w:fldChar w:fldCharType="end"/>
            </w:r>
          </w:hyperlink>
        </w:p>
        <w:p w14:paraId="1FC4165E" w14:textId="5A62E302"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43" w:history="1">
            <w:r w:rsidR="007C6931" w:rsidRPr="005B368F">
              <w:rPr>
                <w:rStyle w:val="Hyperlink"/>
                <w:noProof/>
              </w:rPr>
              <w:t>7.4.1</w:t>
            </w:r>
            <w:r w:rsidR="007C6931">
              <w:rPr>
                <w:rFonts w:asciiTheme="minorHAnsi" w:eastAsiaTheme="minorEastAsia" w:hAnsiTheme="minorHAnsi"/>
                <w:noProof/>
                <w:sz w:val="22"/>
                <w:lang w:eastAsia="de-CH"/>
              </w:rPr>
              <w:tab/>
            </w:r>
            <w:r w:rsidR="007C6931" w:rsidRPr="005B368F">
              <w:rPr>
                <w:rStyle w:val="Hyperlink"/>
                <w:noProof/>
              </w:rPr>
              <w:t>Trasfusione intrauterina</w:t>
            </w:r>
            <w:r w:rsidR="007C6931">
              <w:rPr>
                <w:noProof/>
                <w:webHidden/>
              </w:rPr>
              <w:tab/>
            </w:r>
            <w:r w:rsidR="007C6931">
              <w:rPr>
                <w:noProof/>
                <w:webHidden/>
              </w:rPr>
              <w:fldChar w:fldCharType="begin"/>
            </w:r>
            <w:r w:rsidR="007C6931">
              <w:rPr>
                <w:noProof/>
                <w:webHidden/>
              </w:rPr>
              <w:instrText xml:space="preserve"> PAGEREF _Toc161749143 \h </w:instrText>
            </w:r>
            <w:r w:rsidR="007C6931">
              <w:rPr>
                <w:noProof/>
                <w:webHidden/>
              </w:rPr>
            </w:r>
            <w:r w:rsidR="007C6931">
              <w:rPr>
                <w:noProof/>
                <w:webHidden/>
              </w:rPr>
              <w:fldChar w:fldCharType="separate"/>
            </w:r>
            <w:r w:rsidR="007C6931">
              <w:rPr>
                <w:noProof/>
                <w:webHidden/>
              </w:rPr>
              <w:t>29</w:t>
            </w:r>
            <w:r w:rsidR="007C6931">
              <w:rPr>
                <w:noProof/>
                <w:webHidden/>
              </w:rPr>
              <w:fldChar w:fldCharType="end"/>
            </w:r>
          </w:hyperlink>
        </w:p>
        <w:p w14:paraId="409ADC14" w14:textId="12F34A8F"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44" w:history="1">
            <w:r w:rsidR="007C6931" w:rsidRPr="005B368F">
              <w:rPr>
                <w:rStyle w:val="Hyperlink"/>
                <w:noProof/>
              </w:rPr>
              <w:t>7.4.2</w:t>
            </w:r>
            <w:r w:rsidR="007C6931">
              <w:rPr>
                <w:rFonts w:asciiTheme="minorHAnsi" w:eastAsiaTheme="minorEastAsia" w:hAnsiTheme="minorHAnsi"/>
                <w:noProof/>
                <w:sz w:val="22"/>
                <w:lang w:eastAsia="de-CH"/>
              </w:rPr>
              <w:tab/>
            </w:r>
            <w:r w:rsidR="007C6931" w:rsidRPr="005B368F">
              <w:rPr>
                <w:rStyle w:val="Hyperlink"/>
                <w:noProof/>
              </w:rPr>
              <w:t xml:space="preserve">Trasfusione nei prematuri, nei neonati e bambini fino a 4 mesi </w:t>
            </w:r>
            <w:r w:rsidR="007C6931" w:rsidRPr="005B368F">
              <w:rPr>
                <w:rStyle w:val="Hyperlink"/>
                <w:rFonts w:cs="Arial"/>
                <w:noProof/>
              </w:rPr>
              <w:t>[18], [22]</w:t>
            </w:r>
            <w:r w:rsidR="007C6931">
              <w:rPr>
                <w:noProof/>
                <w:webHidden/>
              </w:rPr>
              <w:tab/>
            </w:r>
            <w:r w:rsidR="007C6931">
              <w:rPr>
                <w:noProof/>
                <w:webHidden/>
              </w:rPr>
              <w:fldChar w:fldCharType="begin"/>
            </w:r>
            <w:r w:rsidR="007C6931">
              <w:rPr>
                <w:noProof/>
                <w:webHidden/>
              </w:rPr>
              <w:instrText xml:space="preserve"> PAGEREF _Toc161749144 \h </w:instrText>
            </w:r>
            <w:r w:rsidR="007C6931">
              <w:rPr>
                <w:noProof/>
                <w:webHidden/>
              </w:rPr>
            </w:r>
            <w:r w:rsidR="007C6931">
              <w:rPr>
                <w:noProof/>
                <w:webHidden/>
              </w:rPr>
              <w:fldChar w:fldCharType="separate"/>
            </w:r>
            <w:r w:rsidR="007C6931">
              <w:rPr>
                <w:noProof/>
                <w:webHidden/>
              </w:rPr>
              <w:t>30</w:t>
            </w:r>
            <w:r w:rsidR="007C6931">
              <w:rPr>
                <w:noProof/>
                <w:webHidden/>
              </w:rPr>
              <w:fldChar w:fldCharType="end"/>
            </w:r>
          </w:hyperlink>
        </w:p>
        <w:p w14:paraId="0FF9D37E" w14:textId="3AFF482F"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45" w:history="1">
            <w:r w:rsidR="007C6931" w:rsidRPr="005B368F">
              <w:rPr>
                <w:rStyle w:val="Hyperlink"/>
                <w:noProof/>
              </w:rPr>
              <w:t>7.4.3</w:t>
            </w:r>
            <w:r w:rsidR="007C6931">
              <w:rPr>
                <w:rFonts w:asciiTheme="minorHAnsi" w:eastAsiaTheme="minorEastAsia" w:hAnsiTheme="minorHAnsi"/>
                <w:noProof/>
                <w:sz w:val="22"/>
                <w:lang w:eastAsia="de-CH"/>
              </w:rPr>
              <w:tab/>
            </w:r>
            <w:r w:rsidR="007C6931" w:rsidRPr="005B368F">
              <w:rPr>
                <w:rStyle w:val="Hyperlink"/>
                <w:noProof/>
              </w:rPr>
              <w:t>Trasfusione nei bambini (dai 5 ai 12 mesi)</w:t>
            </w:r>
            <w:r w:rsidR="007C6931">
              <w:rPr>
                <w:noProof/>
                <w:webHidden/>
              </w:rPr>
              <w:tab/>
            </w:r>
            <w:r w:rsidR="007C6931">
              <w:rPr>
                <w:noProof/>
                <w:webHidden/>
              </w:rPr>
              <w:fldChar w:fldCharType="begin"/>
            </w:r>
            <w:r w:rsidR="007C6931">
              <w:rPr>
                <w:noProof/>
                <w:webHidden/>
              </w:rPr>
              <w:instrText xml:space="preserve"> PAGEREF _Toc161749145 \h </w:instrText>
            </w:r>
            <w:r w:rsidR="007C6931">
              <w:rPr>
                <w:noProof/>
                <w:webHidden/>
              </w:rPr>
            </w:r>
            <w:r w:rsidR="007C6931">
              <w:rPr>
                <w:noProof/>
                <w:webHidden/>
              </w:rPr>
              <w:fldChar w:fldCharType="separate"/>
            </w:r>
            <w:r w:rsidR="007C6931">
              <w:rPr>
                <w:noProof/>
                <w:webHidden/>
              </w:rPr>
              <w:t>30</w:t>
            </w:r>
            <w:r w:rsidR="007C6931">
              <w:rPr>
                <w:noProof/>
                <w:webHidden/>
              </w:rPr>
              <w:fldChar w:fldCharType="end"/>
            </w:r>
          </w:hyperlink>
        </w:p>
        <w:p w14:paraId="7E3355A5" w14:textId="51618DA2"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46" w:history="1">
            <w:r w:rsidR="007C6931" w:rsidRPr="005B368F">
              <w:rPr>
                <w:rStyle w:val="Hyperlink"/>
                <w:noProof/>
              </w:rPr>
              <w:t>7.4.4</w:t>
            </w:r>
            <w:r w:rsidR="007C6931">
              <w:rPr>
                <w:rFonts w:asciiTheme="minorHAnsi" w:eastAsiaTheme="minorEastAsia" w:hAnsiTheme="minorHAnsi"/>
                <w:noProof/>
                <w:sz w:val="22"/>
                <w:lang w:eastAsia="de-CH"/>
              </w:rPr>
              <w:tab/>
            </w:r>
            <w:r w:rsidR="007C6931" w:rsidRPr="005B368F">
              <w:rPr>
                <w:rStyle w:val="Hyperlink"/>
                <w:noProof/>
              </w:rPr>
              <w:t>Exanguinotrasfusioni vedi § 9.2</w:t>
            </w:r>
            <w:r w:rsidR="007C6931">
              <w:rPr>
                <w:noProof/>
                <w:webHidden/>
              </w:rPr>
              <w:tab/>
            </w:r>
            <w:r w:rsidR="007C6931">
              <w:rPr>
                <w:noProof/>
                <w:webHidden/>
              </w:rPr>
              <w:fldChar w:fldCharType="begin"/>
            </w:r>
            <w:r w:rsidR="007C6931">
              <w:rPr>
                <w:noProof/>
                <w:webHidden/>
              </w:rPr>
              <w:instrText xml:space="preserve"> PAGEREF _Toc161749146 \h </w:instrText>
            </w:r>
            <w:r w:rsidR="007C6931">
              <w:rPr>
                <w:noProof/>
                <w:webHidden/>
              </w:rPr>
            </w:r>
            <w:r w:rsidR="007C6931">
              <w:rPr>
                <w:noProof/>
                <w:webHidden/>
              </w:rPr>
              <w:fldChar w:fldCharType="separate"/>
            </w:r>
            <w:r w:rsidR="007C6931">
              <w:rPr>
                <w:noProof/>
                <w:webHidden/>
              </w:rPr>
              <w:t>30</w:t>
            </w:r>
            <w:r w:rsidR="007C6931">
              <w:rPr>
                <w:noProof/>
                <w:webHidden/>
              </w:rPr>
              <w:fldChar w:fldCharType="end"/>
            </w:r>
          </w:hyperlink>
        </w:p>
        <w:p w14:paraId="1269A915" w14:textId="13C78E98" w:rsidR="007C6931" w:rsidRDefault="00654E10">
          <w:pPr>
            <w:pStyle w:val="Verzeichnis1"/>
            <w:tabs>
              <w:tab w:val="left" w:pos="400"/>
              <w:tab w:val="right" w:leader="dot" w:pos="9060"/>
            </w:tabs>
            <w:rPr>
              <w:rFonts w:asciiTheme="minorHAnsi" w:eastAsiaTheme="minorEastAsia" w:hAnsiTheme="minorHAnsi"/>
              <w:b w:val="0"/>
              <w:noProof/>
              <w:sz w:val="22"/>
              <w:lang w:eastAsia="de-CH"/>
            </w:rPr>
          </w:pPr>
          <w:hyperlink w:anchor="_Toc161749147" w:history="1">
            <w:r w:rsidR="007C6931" w:rsidRPr="005B368F">
              <w:rPr>
                <w:rStyle w:val="Hyperlink"/>
                <w:noProof/>
              </w:rPr>
              <w:t>8</w:t>
            </w:r>
            <w:r w:rsidR="007C6931">
              <w:rPr>
                <w:rFonts w:asciiTheme="minorHAnsi" w:eastAsiaTheme="minorEastAsia" w:hAnsiTheme="minorHAnsi"/>
                <w:b w:val="0"/>
                <w:noProof/>
                <w:sz w:val="22"/>
                <w:lang w:eastAsia="de-CH"/>
              </w:rPr>
              <w:tab/>
            </w:r>
            <w:r w:rsidR="007C6931" w:rsidRPr="005B368F">
              <w:rPr>
                <w:rStyle w:val="Hyperlink"/>
                <w:noProof/>
              </w:rPr>
              <w:t>Scelta del gruppo sanguigno dei prodotti sanguigni labili</w:t>
            </w:r>
            <w:r w:rsidR="007C6931">
              <w:rPr>
                <w:noProof/>
                <w:webHidden/>
              </w:rPr>
              <w:tab/>
            </w:r>
            <w:r w:rsidR="007C6931">
              <w:rPr>
                <w:noProof/>
                <w:webHidden/>
              </w:rPr>
              <w:fldChar w:fldCharType="begin"/>
            </w:r>
            <w:r w:rsidR="007C6931">
              <w:rPr>
                <w:noProof/>
                <w:webHidden/>
              </w:rPr>
              <w:instrText xml:space="preserve"> PAGEREF _Toc161749147 \h </w:instrText>
            </w:r>
            <w:r w:rsidR="007C6931">
              <w:rPr>
                <w:noProof/>
                <w:webHidden/>
              </w:rPr>
            </w:r>
            <w:r w:rsidR="007C6931">
              <w:rPr>
                <w:noProof/>
                <w:webHidden/>
              </w:rPr>
              <w:fldChar w:fldCharType="separate"/>
            </w:r>
            <w:r w:rsidR="007C6931">
              <w:rPr>
                <w:noProof/>
                <w:webHidden/>
              </w:rPr>
              <w:t>31</w:t>
            </w:r>
            <w:r w:rsidR="007C6931">
              <w:rPr>
                <w:noProof/>
                <w:webHidden/>
              </w:rPr>
              <w:fldChar w:fldCharType="end"/>
            </w:r>
          </w:hyperlink>
        </w:p>
        <w:p w14:paraId="7A885421" w14:textId="059B0D62" w:rsidR="007C6931" w:rsidRDefault="00654E10">
          <w:pPr>
            <w:pStyle w:val="Verzeichnis2"/>
            <w:rPr>
              <w:rFonts w:asciiTheme="minorHAnsi" w:eastAsiaTheme="minorEastAsia" w:hAnsiTheme="minorHAnsi"/>
              <w:noProof/>
              <w:sz w:val="22"/>
              <w:lang w:eastAsia="de-CH"/>
            </w:rPr>
          </w:pPr>
          <w:hyperlink w:anchor="_Toc161749148" w:history="1">
            <w:r w:rsidR="007C6931" w:rsidRPr="005B368F">
              <w:rPr>
                <w:rStyle w:val="Hyperlink"/>
                <w:noProof/>
              </w:rPr>
              <w:t>8.1</w:t>
            </w:r>
            <w:r w:rsidR="007C6931">
              <w:rPr>
                <w:rFonts w:asciiTheme="minorHAnsi" w:eastAsiaTheme="minorEastAsia" w:hAnsiTheme="minorHAnsi"/>
                <w:noProof/>
                <w:sz w:val="22"/>
                <w:lang w:eastAsia="de-CH"/>
              </w:rPr>
              <w:tab/>
            </w:r>
            <w:r w:rsidR="007C6931" w:rsidRPr="005B368F">
              <w:rPr>
                <w:rStyle w:val="Hyperlink"/>
                <w:noProof/>
              </w:rPr>
              <w:t>Scelta del gruppo sanguigno dei CE</w:t>
            </w:r>
            <w:r w:rsidR="007C6931">
              <w:rPr>
                <w:noProof/>
                <w:webHidden/>
              </w:rPr>
              <w:tab/>
            </w:r>
            <w:r w:rsidR="007C6931">
              <w:rPr>
                <w:noProof/>
                <w:webHidden/>
              </w:rPr>
              <w:fldChar w:fldCharType="begin"/>
            </w:r>
            <w:r w:rsidR="007C6931">
              <w:rPr>
                <w:noProof/>
                <w:webHidden/>
              </w:rPr>
              <w:instrText xml:space="preserve"> PAGEREF _Toc161749148 \h </w:instrText>
            </w:r>
            <w:r w:rsidR="007C6931">
              <w:rPr>
                <w:noProof/>
                <w:webHidden/>
              </w:rPr>
            </w:r>
            <w:r w:rsidR="007C6931">
              <w:rPr>
                <w:noProof/>
                <w:webHidden/>
              </w:rPr>
              <w:fldChar w:fldCharType="separate"/>
            </w:r>
            <w:r w:rsidR="007C6931">
              <w:rPr>
                <w:noProof/>
                <w:webHidden/>
              </w:rPr>
              <w:t>31</w:t>
            </w:r>
            <w:r w:rsidR="007C6931">
              <w:rPr>
                <w:noProof/>
                <w:webHidden/>
              </w:rPr>
              <w:fldChar w:fldCharType="end"/>
            </w:r>
          </w:hyperlink>
        </w:p>
        <w:p w14:paraId="5B107D75" w14:textId="22BC84EA"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49" w:history="1">
            <w:r w:rsidR="007C6931" w:rsidRPr="005B368F">
              <w:rPr>
                <w:rStyle w:val="Hyperlink"/>
                <w:noProof/>
              </w:rPr>
              <w:t>8.1.1</w:t>
            </w:r>
            <w:r w:rsidR="007C6931">
              <w:rPr>
                <w:rFonts w:asciiTheme="minorHAnsi" w:eastAsiaTheme="minorEastAsia" w:hAnsiTheme="minorHAnsi"/>
                <w:noProof/>
                <w:sz w:val="22"/>
                <w:lang w:eastAsia="de-CH"/>
              </w:rPr>
              <w:tab/>
            </w:r>
            <w:r w:rsidR="007C6931" w:rsidRPr="005B368F">
              <w:rPr>
                <w:rStyle w:val="Hyperlink"/>
                <w:noProof/>
              </w:rPr>
              <w:t>Scelta del gruppo ABO</w:t>
            </w:r>
            <w:r w:rsidR="007C6931">
              <w:rPr>
                <w:noProof/>
                <w:webHidden/>
              </w:rPr>
              <w:tab/>
            </w:r>
            <w:r w:rsidR="007C6931">
              <w:rPr>
                <w:noProof/>
                <w:webHidden/>
              </w:rPr>
              <w:fldChar w:fldCharType="begin"/>
            </w:r>
            <w:r w:rsidR="007C6931">
              <w:rPr>
                <w:noProof/>
                <w:webHidden/>
              </w:rPr>
              <w:instrText xml:space="preserve"> PAGEREF _Toc161749149 \h </w:instrText>
            </w:r>
            <w:r w:rsidR="007C6931">
              <w:rPr>
                <w:noProof/>
                <w:webHidden/>
              </w:rPr>
            </w:r>
            <w:r w:rsidR="007C6931">
              <w:rPr>
                <w:noProof/>
                <w:webHidden/>
              </w:rPr>
              <w:fldChar w:fldCharType="separate"/>
            </w:r>
            <w:r w:rsidR="007C6931">
              <w:rPr>
                <w:noProof/>
                <w:webHidden/>
              </w:rPr>
              <w:t>31</w:t>
            </w:r>
            <w:r w:rsidR="007C6931">
              <w:rPr>
                <w:noProof/>
                <w:webHidden/>
              </w:rPr>
              <w:fldChar w:fldCharType="end"/>
            </w:r>
          </w:hyperlink>
        </w:p>
        <w:p w14:paraId="22A9DAEE" w14:textId="598B3077"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50" w:history="1">
            <w:r w:rsidR="007C6931" w:rsidRPr="005B368F">
              <w:rPr>
                <w:rStyle w:val="Hyperlink"/>
                <w:noProof/>
              </w:rPr>
              <w:t>8.1.2</w:t>
            </w:r>
            <w:r w:rsidR="007C6931">
              <w:rPr>
                <w:rFonts w:asciiTheme="minorHAnsi" w:eastAsiaTheme="minorEastAsia" w:hAnsiTheme="minorHAnsi"/>
                <w:noProof/>
                <w:sz w:val="22"/>
                <w:lang w:eastAsia="de-CH"/>
              </w:rPr>
              <w:tab/>
            </w:r>
            <w:r w:rsidR="007C6931" w:rsidRPr="005B368F">
              <w:rPr>
                <w:rStyle w:val="Hyperlink"/>
                <w:noProof/>
              </w:rPr>
              <w:t>Scelta dell’antigene RH1</w:t>
            </w:r>
            <w:r w:rsidR="007C6931">
              <w:rPr>
                <w:noProof/>
                <w:webHidden/>
              </w:rPr>
              <w:tab/>
            </w:r>
            <w:r w:rsidR="007C6931">
              <w:rPr>
                <w:noProof/>
                <w:webHidden/>
              </w:rPr>
              <w:fldChar w:fldCharType="begin"/>
            </w:r>
            <w:r w:rsidR="007C6931">
              <w:rPr>
                <w:noProof/>
                <w:webHidden/>
              </w:rPr>
              <w:instrText xml:space="preserve"> PAGEREF _Toc161749150 \h </w:instrText>
            </w:r>
            <w:r w:rsidR="007C6931">
              <w:rPr>
                <w:noProof/>
                <w:webHidden/>
              </w:rPr>
            </w:r>
            <w:r w:rsidR="007C6931">
              <w:rPr>
                <w:noProof/>
                <w:webHidden/>
              </w:rPr>
              <w:fldChar w:fldCharType="separate"/>
            </w:r>
            <w:r w:rsidR="007C6931">
              <w:rPr>
                <w:noProof/>
                <w:webHidden/>
              </w:rPr>
              <w:t>31</w:t>
            </w:r>
            <w:r w:rsidR="007C6931">
              <w:rPr>
                <w:noProof/>
                <w:webHidden/>
              </w:rPr>
              <w:fldChar w:fldCharType="end"/>
            </w:r>
          </w:hyperlink>
        </w:p>
        <w:p w14:paraId="6940A5BD" w14:textId="03502FF0"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51" w:history="1">
            <w:r w:rsidR="007C6931" w:rsidRPr="005B368F">
              <w:rPr>
                <w:rStyle w:val="Hyperlink"/>
                <w:noProof/>
              </w:rPr>
              <w:t>8.1.3</w:t>
            </w:r>
            <w:r w:rsidR="007C6931">
              <w:rPr>
                <w:rFonts w:asciiTheme="minorHAnsi" w:eastAsiaTheme="minorEastAsia" w:hAnsiTheme="minorHAnsi"/>
                <w:noProof/>
                <w:sz w:val="22"/>
                <w:lang w:eastAsia="de-CH"/>
              </w:rPr>
              <w:tab/>
            </w:r>
            <w:r w:rsidR="007C6931" w:rsidRPr="005B368F">
              <w:rPr>
                <w:rStyle w:val="Hyperlink"/>
                <w:noProof/>
              </w:rPr>
              <w:t>Scelta di altri antigeni di gruppo sanguigno</w:t>
            </w:r>
            <w:r w:rsidR="007C6931">
              <w:rPr>
                <w:noProof/>
                <w:webHidden/>
              </w:rPr>
              <w:tab/>
            </w:r>
            <w:r w:rsidR="007C6931">
              <w:rPr>
                <w:noProof/>
                <w:webHidden/>
              </w:rPr>
              <w:fldChar w:fldCharType="begin"/>
            </w:r>
            <w:r w:rsidR="007C6931">
              <w:rPr>
                <w:noProof/>
                <w:webHidden/>
              </w:rPr>
              <w:instrText xml:space="preserve"> PAGEREF _Toc161749151 \h </w:instrText>
            </w:r>
            <w:r w:rsidR="007C6931">
              <w:rPr>
                <w:noProof/>
                <w:webHidden/>
              </w:rPr>
            </w:r>
            <w:r w:rsidR="007C6931">
              <w:rPr>
                <w:noProof/>
                <w:webHidden/>
              </w:rPr>
              <w:fldChar w:fldCharType="separate"/>
            </w:r>
            <w:r w:rsidR="007C6931">
              <w:rPr>
                <w:noProof/>
                <w:webHidden/>
              </w:rPr>
              <w:t>32</w:t>
            </w:r>
            <w:r w:rsidR="007C6931">
              <w:rPr>
                <w:noProof/>
                <w:webHidden/>
              </w:rPr>
              <w:fldChar w:fldCharType="end"/>
            </w:r>
          </w:hyperlink>
        </w:p>
        <w:p w14:paraId="70233639" w14:textId="17BA6D00" w:rsidR="007C6931" w:rsidRDefault="00654E10">
          <w:pPr>
            <w:pStyle w:val="Verzeichnis2"/>
            <w:rPr>
              <w:rFonts w:asciiTheme="minorHAnsi" w:eastAsiaTheme="minorEastAsia" w:hAnsiTheme="minorHAnsi"/>
              <w:noProof/>
              <w:sz w:val="22"/>
              <w:lang w:eastAsia="de-CH"/>
            </w:rPr>
          </w:pPr>
          <w:hyperlink w:anchor="_Toc161749152" w:history="1">
            <w:r w:rsidR="007C6931" w:rsidRPr="005B368F">
              <w:rPr>
                <w:rStyle w:val="Hyperlink"/>
                <w:noProof/>
              </w:rPr>
              <w:t>8.2</w:t>
            </w:r>
            <w:r w:rsidR="007C6931">
              <w:rPr>
                <w:rFonts w:asciiTheme="minorHAnsi" w:eastAsiaTheme="minorEastAsia" w:hAnsiTheme="minorHAnsi"/>
                <w:noProof/>
                <w:sz w:val="22"/>
                <w:lang w:eastAsia="de-CH"/>
              </w:rPr>
              <w:tab/>
            </w:r>
            <w:r w:rsidR="007C6931" w:rsidRPr="005B368F">
              <w:rPr>
                <w:rStyle w:val="Hyperlink"/>
                <w:noProof/>
              </w:rPr>
              <w:t>Scelta del gruppo sanguigno ABO del plasma fresco congelato</w:t>
            </w:r>
            <w:r w:rsidR="007C6931">
              <w:rPr>
                <w:noProof/>
                <w:webHidden/>
              </w:rPr>
              <w:tab/>
            </w:r>
            <w:r w:rsidR="007C6931">
              <w:rPr>
                <w:noProof/>
                <w:webHidden/>
              </w:rPr>
              <w:fldChar w:fldCharType="begin"/>
            </w:r>
            <w:r w:rsidR="007C6931">
              <w:rPr>
                <w:noProof/>
                <w:webHidden/>
              </w:rPr>
              <w:instrText xml:space="preserve"> PAGEREF _Toc161749152 \h </w:instrText>
            </w:r>
            <w:r w:rsidR="007C6931">
              <w:rPr>
                <w:noProof/>
                <w:webHidden/>
              </w:rPr>
            </w:r>
            <w:r w:rsidR="007C6931">
              <w:rPr>
                <w:noProof/>
                <w:webHidden/>
              </w:rPr>
              <w:fldChar w:fldCharType="separate"/>
            </w:r>
            <w:r w:rsidR="007C6931">
              <w:rPr>
                <w:noProof/>
                <w:webHidden/>
              </w:rPr>
              <w:t>34</w:t>
            </w:r>
            <w:r w:rsidR="007C6931">
              <w:rPr>
                <w:noProof/>
                <w:webHidden/>
              </w:rPr>
              <w:fldChar w:fldCharType="end"/>
            </w:r>
          </w:hyperlink>
        </w:p>
        <w:p w14:paraId="11E41E7F" w14:textId="3F1C9322" w:rsidR="007C6931" w:rsidRDefault="00654E10">
          <w:pPr>
            <w:pStyle w:val="Verzeichnis2"/>
            <w:rPr>
              <w:rFonts w:asciiTheme="minorHAnsi" w:eastAsiaTheme="minorEastAsia" w:hAnsiTheme="minorHAnsi"/>
              <w:noProof/>
              <w:sz w:val="22"/>
              <w:lang w:eastAsia="de-CH"/>
            </w:rPr>
          </w:pPr>
          <w:hyperlink w:anchor="_Toc161749153" w:history="1">
            <w:r w:rsidR="007C6931" w:rsidRPr="005B368F">
              <w:rPr>
                <w:rStyle w:val="Hyperlink"/>
                <w:noProof/>
              </w:rPr>
              <w:t>8.3</w:t>
            </w:r>
            <w:r w:rsidR="007C6931">
              <w:rPr>
                <w:rFonts w:asciiTheme="minorHAnsi" w:eastAsiaTheme="minorEastAsia" w:hAnsiTheme="minorHAnsi"/>
                <w:noProof/>
                <w:sz w:val="22"/>
                <w:lang w:eastAsia="de-CH"/>
              </w:rPr>
              <w:tab/>
            </w:r>
            <w:r w:rsidR="007C6931" w:rsidRPr="005B368F">
              <w:rPr>
                <w:rStyle w:val="Hyperlink"/>
                <w:noProof/>
              </w:rPr>
              <w:t>Scelta del gruppo sanguigno ABO/RH1 dei concentrati di trombociti</w:t>
            </w:r>
            <w:r w:rsidR="007C6931">
              <w:rPr>
                <w:noProof/>
                <w:webHidden/>
              </w:rPr>
              <w:tab/>
            </w:r>
            <w:r w:rsidR="007C6931">
              <w:rPr>
                <w:noProof/>
                <w:webHidden/>
              </w:rPr>
              <w:fldChar w:fldCharType="begin"/>
            </w:r>
            <w:r w:rsidR="007C6931">
              <w:rPr>
                <w:noProof/>
                <w:webHidden/>
              </w:rPr>
              <w:instrText xml:space="preserve"> PAGEREF _Toc161749153 \h </w:instrText>
            </w:r>
            <w:r w:rsidR="007C6931">
              <w:rPr>
                <w:noProof/>
                <w:webHidden/>
              </w:rPr>
            </w:r>
            <w:r w:rsidR="007C6931">
              <w:rPr>
                <w:noProof/>
                <w:webHidden/>
              </w:rPr>
              <w:fldChar w:fldCharType="separate"/>
            </w:r>
            <w:r w:rsidR="007C6931">
              <w:rPr>
                <w:noProof/>
                <w:webHidden/>
              </w:rPr>
              <w:t>34</w:t>
            </w:r>
            <w:r w:rsidR="007C6931">
              <w:rPr>
                <w:noProof/>
                <w:webHidden/>
              </w:rPr>
              <w:fldChar w:fldCharType="end"/>
            </w:r>
          </w:hyperlink>
        </w:p>
        <w:p w14:paraId="7772B64A" w14:textId="693E6191" w:rsidR="007C6931" w:rsidRDefault="00654E10">
          <w:pPr>
            <w:pStyle w:val="Verzeichnis2"/>
            <w:rPr>
              <w:rFonts w:asciiTheme="minorHAnsi" w:eastAsiaTheme="minorEastAsia" w:hAnsiTheme="minorHAnsi"/>
              <w:noProof/>
              <w:sz w:val="22"/>
              <w:lang w:eastAsia="de-CH"/>
            </w:rPr>
          </w:pPr>
          <w:hyperlink w:anchor="_Toc161749154" w:history="1">
            <w:r w:rsidR="007C6931" w:rsidRPr="005B368F">
              <w:rPr>
                <w:rStyle w:val="Hyperlink"/>
                <w:noProof/>
              </w:rPr>
              <w:t>8.4</w:t>
            </w:r>
            <w:r w:rsidR="007C6931">
              <w:rPr>
                <w:rFonts w:asciiTheme="minorHAnsi" w:eastAsiaTheme="minorEastAsia" w:hAnsiTheme="minorHAnsi"/>
                <w:noProof/>
                <w:sz w:val="22"/>
                <w:lang w:eastAsia="de-CH"/>
              </w:rPr>
              <w:tab/>
            </w:r>
            <w:r w:rsidR="007C6931" w:rsidRPr="005B368F">
              <w:rPr>
                <w:rStyle w:val="Hyperlink"/>
                <w:noProof/>
              </w:rPr>
              <w:t>Scelta del gruppo sanguigno ABO/RH1 in situazioni particolari</w:t>
            </w:r>
            <w:r w:rsidR="007C6931">
              <w:rPr>
                <w:noProof/>
                <w:webHidden/>
              </w:rPr>
              <w:tab/>
            </w:r>
            <w:r w:rsidR="007C6931">
              <w:rPr>
                <w:noProof/>
                <w:webHidden/>
              </w:rPr>
              <w:fldChar w:fldCharType="begin"/>
            </w:r>
            <w:r w:rsidR="007C6931">
              <w:rPr>
                <w:noProof/>
                <w:webHidden/>
              </w:rPr>
              <w:instrText xml:space="preserve"> PAGEREF _Toc161749154 \h </w:instrText>
            </w:r>
            <w:r w:rsidR="007C6931">
              <w:rPr>
                <w:noProof/>
                <w:webHidden/>
              </w:rPr>
            </w:r>
            <w:r w:rsidR="007C6931">
              <w:rPr>
                <w:noProof/>
                <w:webHidden/>
              </w:rPr>
              <w:fldChar w:fldCharType="separate"/>
            </w:r>
            <w:r w:rsidR="007C6931">
              <w:rPr>
                <w:noProof/>
                <w:webHidden/>
              </w:rPr>
              <w:t>35</w:t>
            </w:r>
            <w:r w:rsidR="007C6931">
              <w:rPr>
                <w:noProof/>
                <w:webHidden/>
              </w:rPr>
              <w:fldChar w:fldCharType="end"/>
            </w:r>
          </w:hyperlink>
        </w:p>
        <w:p w14:paraId="06C83204" w14:textId="0CFED1B2" w:rsidR="007C6931" w:rsidRDefault="00654E10">
          <w:pPr>
            <w:pStyle w:val="Verzeichnis1"/>
            <w:tabs>
              <w:tab w:val="left" w:pos="400"/>
              <w:tab w:val="right" w:leader="dot" w:pos="9060"/>
            </w:tabs>
            <w:rPr>
              <w:rFonts w:asciiTheme="minorHAnsi" w:eastAsiaTheme="minorEastAsia" w:hAnsiTheme="minorHAnsi"/>
              <w:b w:val="0"/>
              <w:noProof/>
              <w:sz w:val="22"/>
              <w:lang w:eastAsia="de-CH"/>
            </w:rPr>
          </w:pPr>
          <w:hyperlink w:anchor="_Toc161749155" w:history="1">
            <w:r w:rsidR="007C6931" w:rsidRPr="005B368F">
              <w:rPr>
                <w:rStyle w:val="Hyperlink"/>
                <w:noProof/>
              </w:rPr>
              <w:t>9</w:t>
            </w:r>
            <w:r w:rsidR="007C6931">
              <w:rPr>
                <w:rFonts w:asciiTheme="minorHAnsi" w:eastAsiaTheme="minorEastAsia" w:hAnsiTheme="minorHAnsi"/>
                <w:b w:val="0"/>
                <w:noProof/>
                <w:sz w:val="22"/>
                <w:lang w:eastAsia="de-CH"/>
              </w:rPr>
              <w:tab/>
            </w:r>
            <w:r w:rsidR="007C6931" w:rsidRPr="005B368F">
              <w:rPr>
                <w:rStyle w:val="Hyperlink"/>
                <w:noProof/>
              </w:rPr>
              <w:t>Procedura e scelta dei prodotti sanguigni in situazioni cliniche particolari</w:t>
            </w:r>
            <w:r w:rsidR="007C6931">
              <w:rPr>
                <w:noProof/>
                <w:webHidden/>
              </w:rPr>
              <w:tab/>
            </w:r>
            <w:r w:rsidR="007C6931">
              <w:rPr>
                <w:noProof/>
                <w:webHidden/>
              </w:rPr>
              <w:fldChar w:fldCharType="begin"/>
            </w:r>
            <w:r w:rsidR="007C6931">
              <w:rPr>
                <w:noProof/>
                <w:webHidden/>
              </w:rPr>
              <w:instrText xml:space="preserve"> PAGEREF _Toc161749155 \h </w:instrText>
            </w:r>
            <w:r w:rsidR="007C6931">
              <w:rPr>
                <w:noProof/>
                <w:webHidden/>
              </w:rPr>
            </w:r>
            <w:r w:rsidR="007C6931">
              <w:rPr>
                <w:noProof/>
                <w:webHidden/>
              </w:rPr>
              <w:fldChar w:fldCharType="separate"/>
            </w:r>
            <w:r w:rsidR="007C6931">
              <w:rPr>
                <w:noProof/>
                <w:webHidden/>
              </w:rPr>
              <w:t>36</w:t>
            </w:r>
            <w:r w:rsidR="007C6931">
              <w:rPr>
                <w:noProof/>
                <w:webHidden/>
              </w:rPr>
              <w:fldChar w:fldCharType="end"/>
            </w:r>
          </w:hyperlink>
        </w:p>
        <w:p w14:paraId="4933841E" w14:textId="498956EA" w:rsidR="007C6931" w:rsidRDefault="00654E10">
          <w:pPr>
            <w:pStyle w:val="Verzeichnis2"/>
            <w:rPr>
              <w:rFonts w:asciiTheme="minorHAnsi" w:eastAsiaTheme="minorEastAsia" w:hAnsiTheme="minorHAnsi"/>
              <w:noProof/>
              <w:sz w:val="22"/>
              <w:lang w:eastAsia="de-CH"/>
            </w:rPr>
          </w:pPr>
          <w:hyperlink w:anchor="_Toc161749156" w:history="1">
            <w:r w:rsidR="007C6931" w:rsidRPr="005B368F">
              <w:rPr>
                <w:rStyle w:val="Hyperlink"/>
                <w:noProof/>
              </w:rPr>
              <w:t>9.1</w:t>
            </w:r>
            <w:r w:rsidR="007C6931">
              <w:rPr>
                <w:rFonts w:asciiTheme="minorHAnsi" w:eastAsiaTheme="minorEastAsia" w:hAnsiTheme="minorHAnsi"/>
                <w:noProof/>
                <w:sz w:val="22"/>
                <w:lang w:eastAsia="de-CH"/>
              </w:rPr>
              <w:tab/>
            </w:r>
            <w:r w:rsidR="007C6931" w:rsidRPr="005B368F">
              <w:rPr>
                <w:rStyle w:val="Hyperlink"/>
                <w:noProof/>
              </w:rPr>
              <w:t>Trasfusione autologa</w:t>
            </w:r>
            <w:r w:rsidR="007C6931">
              <w:rPr>
                <w:noProof/>
                <w:webHidden/>
              </w:rPr>
              <w:tab/>
            </w:r>
            <w:r w:rsidR="007C6931">
              <w:rPr>
                <w:noProof/>
                <w:webHidden/>
              </w:rPr>
              <w:fldChar w:fldCharType="begin"/>
            </w:r>
            <w:r w:rsidR="007C6931">
              <w:rPr>
                <w:noProof/>
                <w:webHidden/>
              </w:rPr>
              <w:instrText xml:space="preserve"> PAGEREF _Toc161749156 \h </w:instrText>
            </w:r>
            <w:r w:rsidR="007C6931">
              <w:rPr>
                <w:noProof/>
                <w:webHidden/>
              </w:rPr>
            </w:r>
            <w:r w:rsidR="007C6931">
              <w:rPr>
                <w:noProof/>
                <w:webHidden/>
              </w:rPr>
              <w:fldChar w:fldCharType="separate"/>
            </w:r>
            <w:r w:rsidR="007C6931">
              <w:rPr>
                <w:noProof/>
                <w:webHidden/>
              </w:rPr>
              <w:t>36</w:t>
            </w:r>
            <w:r w:rsidR="007C6931">
              <w:rPr>
                <w:noProof/>
                <w:webHidden/>
              </w:rPr>
              <w:fldChar w:fldCharType="end"/>
            </w:r>
          </w:hyperlink>
        </w:p>
        <w:p w14:paraId="5860435F" w14:textId="7B6BEBA1" w:rsidR="007C6931" w:rsidRDefault="00654E10">
          <w:pPr>
            <w:pStyle w:val="Verzeichnis2"/>
            <w:rPr>
              <w:rFonts w:asciiTheme="minorHAnsi" w:eastAsiaTheme="minorEastAsia" w:hAnsiTheme="minorHAnsi"/>
              <w:noProof/>
              <w:sz w:val="22"/>
              <w:lang w:eastAsia="de-CH"/>
            </w:rPr>
          </w:pPr>
          <w:hyperlink w:anchor="_Toc161749157" w:history="1">
            <w:r w:rsidR="007C6931" w:rsidRPr="005B368F">
              <w:rPr>
                <w:rStyle w:val="Hyperlink"/>
                <w:noProof/>
              </w:rPr>
              <w:t>9.2</w:t>
            </w:r>
            <w:r w:rsidR="007C6931">
              <w:rPr>
                <w:rFonts w:asciiTheme="minorHAnsi" w:eastAsiaTheme="minorEastAsia" w:hAnsiTheme="minorHAnsi"/>
                <w:noProof/>
                <w:sz w:val="22"/>
                <w:lang w:eastAsia="de-CH"/>
              </w:rPr>
              <w:tab/>
            </w:r>
            <w:r w:rsidR="007C6931" w:rsidRPr="005B368F">
              <w:rPr>
                <w:rStyle w:val="Hyperlink"/>
                <w:noProof/>
              </w:rPr>
              <w:t>Exanguinotrasfusioni</w:t>
            </w:r>
            <w:r w:rsidR="007C6931">
              <w:rPr>
                <w:noProof/>
                <w:webHidden/>
              </w:rPr>
              <w:tab/>
            </w:r>
            <w:r w:rsidR="007C6931">
              <w:rPr>
                <w:noProof/>
                <w:webHidden/>
              </w:rPr>
              <w:fldChar w:fldCharType="begin"/>
            </w:r>
            <w:r w:rsidR="007C6931">
              <w:rPr>
                <w:noProof/>
                <w:webHidden/>
              </w:rPr>
              <w:instrText xml:space="preserve"> PAGEREF _Toc161749157 \h </w:instrText>
            </w:r>
            <w:r w:rsidR="007C6931">
              <w:rPr>
                <w:noProof/>
                <w:webHidden/>
              </w:rPr>
            </w:r>
            <w:r w:rsidR="007C6931">
              <w:rPr>
                <w:noProof/>
                <w:webHidden/>
              </w:rPr>
              <w:fldChar w:fldCharType="separate"/>
            </w:r>
            <w:r w:rsidR="007C6931">
              <w:rPr>
                <w:noProof/>
                <w:webHidden/>
              </w:rPr>
              <w:t>36</w:t>
            </w:r>
            <w:r w:rsidR="007C6931">
              <w:rPr>
                <w:noProof/>
                <w:webHidden/>
              </w:rPr>
              <w:fldChar w:fldCharType="end"/>
            </w:r>
          </w:hyperlink>
        </w:p>
        <w:p w14:paraId="00057081" w14:textId="6C7B0579" w:rsidR="007C6931" w:rsidRDefault="00654E10">
          <w:pPr>
            <w:pStyle w:val="Verzeichnis2"/>
            <w:rPr>
              <w:rFonts w:asciiTheme="minorHAnsi" w:eastAsiaTheme="minorEastAsia" w:hAnsiTheme="minorHAnsi"/>
              <w:noProof/>
              <w:sz w:val="22"/>
              <w:lang w:eastAsia="de-CH"/>
            </w:rPr>
          </w:pPr>
          <w:hyperlink w:anchor="_Toc161749158" w:history="1">
            <w:r w:rsidR="007C6931" w:rsidRPr="005B368F">
              <w:rPr>
                <w:rStyle w:val="Hyperlink"/>
                <w:noProof/>
              </w:rPr>
              <w:t>9.3</w:t>
            </w:r>
            <w:r w:rsidR="007C6931">
              <w:rPr>
                <w:rFonts w:asciiTheme="minorHAnsi" w:eastAsiaTheme="minorEastAsia" w:hAnsiTheme="minorHAnsi"/>
                <w:noProof/>
                <w:sz w:val="22"/>
                <w:lang w:eastAsia="de-CH"/>
              </w:rPr>
              <w:tab/>
            </w:r>
            <w:r w:rsidR="007C6931" w:rsidRPr="005B368F">
              <w:rPr>
                <w:rStyle w:val="Hyperlink"/>
                <w:noProof/>
              </w:rPr>
              <w:t>Trasfusione in urgenza</w:t>
            </w:r>
            <w:r w:rsidR="007C6931">
              <w:rPr>
                <w:noProof/>
                <w:webHidden/>
              </w:rPr>
              <w:tab/>
            </w:r>
            <w:r w:rsidR="007C6931">
              <w:rPr>
                <w:noProof/>
                <w:webHidden/>
              </w:rPr>
              <w:fldChar w:fldCharType="begin"/>
            </w:r>
            <w:r w:rsidR="007C6931">
              <w:rPr>
                <w:noProof/>
                <w:webHidden/>
              </w:rPr>
              <w:instrText xml:space="preserve"> PAGEREF _Toc161749158 \h </w:instrText>
            </w:r>
            <w:r w:rsidR="007C6931">
              <w:rPr>
                <w:noProof/>
                <w:webHidden/>
              </w:rPr>
            </w:r>
            <w:r w:rsidR="007C6931">
              <w:rPr>
                <w:noProof/>
                <w:webHidden/>
              </w:rPr>
              <w:fldChar w:fldCharType="separate"/>
            </w:r>
            <w:r w:rsidR="007C6931">
              <w:rPr>
                <w:noProof/>
                <w:webHidden/>
              </w:rPr>
              <w:t>36</w:t>
            </w:r>
            <w:r w:rsidR="007C6931">
              <w:rPr>
                <w:noProof/>
                <w:webHidden/>
              </w:rPr>
              <w:fldChar w:fldCharType="end"/>
            </w:r>
          </w:hyperlink>
        </w:p>
        <w:p w14:paraId="6BB9A1EF" w14:textId="13D31F45"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59" w:history="1">
            <w:r w:rsidR="007C6931" w:rsidRPr="005B368F">
              <w:rPr>
                <w:rStyle w:val="Hyperlink"/>
                <w:noProof/>
              </w:rPr>
              <w:t>9.3.1</w:t>
            </w:r>
            <w:r w:rsidR="007C6931">
              <w:rPr>
                <w:rFonts w:asciiTheme="minorHAnsi" w:eastAsiaTheme="minorEastAsia" w:hAnsiTheme="minorHAnsi"/>
                <w:noProof/>
                <w:sz w:val="22"/>
                <w:lang w:eastAsia="de-CH"/>
              </w:rPr>
              <w:tab/>
            </w:r>
            <w:r w:rsidR="007C6931" w:rsidRPr="005B368F">
              <w:rPr>
                <w:rStyle w:val="Hyperlink"/>
                <w:noProof/>
              </w:rPr>
              <w:t>Scelta del gruppo ABO e RH1 nelle trasfusioni in urgenza</w:t>
            </w:r>
            <w:r w:rsidR="007C6931">
              <w:rPr>
                <w:noProof/>
                <w:webHidden/>
              </w:rPr>
              <w:tab/>
            </w:r>
            <w:r w:rsidR="007C6931">
              <w:rPr>
                <w:noProof/>
                <w:webHidden/>
              </w:rPr>
              <w:fldChar w:fldCharType="begin"/>
            </w:r>
            <w:r w:rsidR="007C6931">
              <w:rPr>
                <w:noProof/>
                <w:webHidden/>
              </w:rPr>
              <w:instrText xml:space="preserve"> PAGEREF _Toc161749159 \h </w:instrText>
            </w:r>
            <w:r w:rsidR="007C6931">
              <w:rPr>
                <w:noProof/>
                <w:webHidden/>
              </w:rPr>
            </w:r>
            <w:r w:rsidR="007C6931">
              <w:rPr>
                <w:noProof/>
                <w:webHidden/>
              </w:rPr>
              <w:fldChar w:fldCharType="separate"/>
            </w:r>
            <w:r w:rsidR="007C6931">
              <w:rPr>
                <w:noProof/>
                <w:webHidden/>
              </w:rPr>
              <w:t>36</w:t>
            </w:r>
            <w:r w:rsidR="007C6931">
              <w:rPr>
                <w:noProof/>
                <w:webHidden/>
              </w:rPr>
              <w:fldChar w:fldCharType="end"/>
            </w:r>
          </w:hyperlink>
        </w:p>
        <w:p w14:paraId="4B8639F2" w14:textId="1370531B"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60" w:history="1">
            <w:r w:rsidR="007C6931" w:rsidRPr="005B368F">
              <w:rPr>
                <w:rStyle w:val="Hyperlink"/>
                <w:noProof/>
              </w:rPr>
              <w:t>9.3.2</w:t>
            </w:r>
            <w:r w:rsidR="007C6931">
              <w:rPr>
                <w:rFonts w:asciiTheme="minorHAnsi" w:eastAsiaTheme="minorEastAsia" w:hAnsiTheme="minorHAnsi"/>
                <w:noProof/>
                <w:sz w:val="22"/>
                <w:lang w:eastAsia="de-CH"/>
              </w:rPr>
              <w:tab/>
            </w:r>
            <w:r w:rsidR="007C6931" w:rsidRPr="005B368F">
              <w:rPr>
                <w:rStyle w:val="Hyperlink"/>
                <w:noProof/>
              </w:rPr>
              <w:t>Altri test pretrasfusionali</w:t>
            </w:r>
            <w:r w:rsidR="007C6931">
              <w:rPr>
                <w:noProof/>
                <w:webHidden/>
              </w:rPr>
              <w:tab/>
            </w:r>
            <w:r w:rsidR="007C6931">
              <w:rPr>
                <w:noProof/>
                <w:webHidden/>
              </w:rPr>
              <w:fldChar w:fldCharType="begin"/>
            </w:r>
            <w:r w:rsidR="007C6931">
              <w:rPr>
                <w:noProof/>
                <w:webHidden/>
              </w:rPr>
              <w:instrText xml:space="preserve"> PAGEREF _Toc161749160 \h </w:instrText>
            </w:r>
            <w:r w:rsidR="007C6931">
              <w:rPr>
                <w:noProof/>
                <w:webHidden/>
              </w:rPr>
            </w:r>
            <w:r w:rsidR="007C6931">
              <w:rPr>
                <w:noProof/>
                <w:webHidden/>
              </w:rPr>
              <w:fldChar w:fldCharType="separate"/>
            </w:r>
            <w:r w:rsidR="007C6931">
              <w:rPr>
                <w:noProof/>
                <w:webHidden/>
              </w:rPr>
              <w:t>36</w:t>
            </w:r>
            <w:r w:rsidR="007C6931">
              <w:rPr>
                <w:noProof/>
                <w:webHidden/>
              </w:rPr>
              <w:fldChar w:fldCharType="end"/>
            </w:r>
          </w:hyperlink>
        </w:p>
        <w:p w14:paraId="7769E4BC" w14:textId="1531CFDB" w:rsidR="007C6931" w:rsidRDefault="00654E10">
          <w:pPr>
            <w:pStyle w:val="Verzeichnis2"/>
            <w:rPr>
              <w:rFonts w:asciiTheme="minorHAnsi" w:eastAsiaTheme="minorEastAsia" w:hAnsiTheme="minorHAnsi"/>
              <w:noProof/>
              <w:sz w:val="22"/>
              <w:lang w:eastAsia="de-CH"/>
            </w:rPr>
          </w:pPr>
          <w:hyperlink w:anchor="_Toc161749161" w:history="1">
            <w:r w:rsidR="007C6931" w:rsidRPr="005B368F">
              <w:rPr>
                <w:rStyle w:val="Hyperlink"/>
                <w:noProof/>
              </w:rPr>
              <w:t>9.4</w:t>
            </w:r>
            <w:r w:rsidR="007C6931">
              <w:rPr>
                <w:rFonts w:asciiTheme="minorHAnsi" w:eastAsiaTheme="minorEastAsia" w:hAnsiTheme="minorHAnsi"/>
                <w:noProof/>
                <w:sz w:val="22"/>
                <w:lang w:eastAsia="de-CH"/>
              </w:rPr>
              <w:tab/>
            </w:r>
            <w:r w:rsidR="007C6931" w:rsidRPr="005B368F">
              <w:rPr>
                <w:rStyle w:val="Hyperlink"/>
                <w:noProof/>
              </w:rPr>
              <w:t>Trasfusione massiccia</w:t>
            </w:r>
            <w:r w:rsidR="007C6931">
              <w:rPr>
                <w:noProof/>
                <w:webHidden/>
              </w:rPr>
              <w:tab/>
            </w:r>
            <w:r w:rsidR="007C6931">
              <w:rPr>
                <w:noProof/>
                <w:webHidden/>
              </w:rPr>
              <w:fldChar w:fldCharType="begin"/>
            </w:r>
            <w:r w:rsidR="007C6931">
              <w:rPr>
                <w:noProof/>
                <w:webHidden/>
              </w:rPr>
              <w:instrText xml:space="preserve"> PAGEREF _Toc161749161 \h </w:instrText>
            </w:r>
            <w:r w:rsidR="007C6931">
              <w:rPr>
                <w:noProof/>
                <w:webHidden/>
              </w:rPr>
            </w:r>
            <w:r w:rsidR="007C6931">
              <w:rPr>
                <w:noProof/>
                <w:webHidden/>
              </w:rPr>
              <w:fldChar w:fldCharType="separate"/>
            </w:r>
            <w:r w:rsidR="007C6931">
              <w:rPr>
                <w:noProof/>
                <w:webHidden/>
              </w:rPr>
              <w:t>36</w:t>
            </w:r>
            <w:r w:rsidR="007C6931">
              <w:rPr>
                <w:noProof/>
                <w:webHidden/>
              </w:rPr>
              <w:fldChar w:fldCharType="end"/>
            </w:r>
          </w:hyperlink>
        </w:p>
        <w:p w14:paraId="3478E8BF" w14:textId="1316DFC7"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62" w:history="1">
            <w:r w:rsidR="007C6931" w:rsidRPr="005B368F">
              <w:rPr>
                <w:rStyle w:val="Hyperlink"/>
                <w:noProof/>
              </w:rPr>
              <w:t>9.4.1</w:t>
            </w:r>
            <w:r w:rsidR="007C6931">
              <w:rPr>
                <w:rFonts w:asciiTheme="minorHAnsi" w:eastAsiaTheme="minorEastAsia" w:hAnsiTheme="minorHAnsi"/>
                <w:noProof/>
                <w:sz w:val="22"/>
                <w:lang w:eastAsia="de-CH"/>
              </w:rPr>
              <w:tab/>
            </w:r>
            <w:r w:rsidR="007C6931" w:rsidRPr="005B368F">
              <w:rPr>
                <w:rStyle w:val="Hyperlink"/>
                <w:noProof/>
              </w:rPr>
              <w:t>Generalità</w:t>
            </w:r>
            <w:r w:rsidR="007C6931">
              <w:rPr>
                <w:noProof/>
                <w:webHidden/>
              </w:rPr>
              <w:tab/>
            </w:r>
            <w:r w:rsidR="007C6931">
              <w:rPr>
                <w:noProof/>
                <w:webHidden/>
              </w:rPr>
              <w:fldChar w:fldCharType="begin"/>
            </w:r>
            <w:r w:rsidR="007C6931">
              <w:rPr>
                <w:noProof/>
                <w:webHidden/>
              </w:rPr>
              <w:instrText xml:space="preserve"> PAGEREF _Toc161749162 \h </w:instrText>
            </w:r>
            <w:r w:rsidR="007C6931">
              <w:rPr>
                <w:noProof/>
                <w:webHidden/>
              </w:rPr>
            </w:r>
            <w:r w:rsidR="007C6931">
              <w:rPr>
                <w:noProof/>
                <w:webHidden/>
              </w:rPr>
              <w:fldChar w:fldCharType="separate"/>
            </w:r>
            <w:r w:rsidR="007C6931">
              <w:rPr>
                <w:noProof/>
                <w:webHidden/>
              </w:rPr>
              <w:t>36</w:t>
            </w:r>
            <w:r w:rsidR="007C6931">
              <w:rPr>
                <w:noProof/>
                <w:webHidden/>
              </w:rPr>
              <w:fldChar w:fldCharType="end"/>
            </w:r>
          </w:hyperlink>
        </w:p>
        <w:p w14:paraId="1D85C952" w14:textId="5B0C0C3B" w:rsidR="007C6931" w:rsidRDefault="00654E10">
          <w:pPr>
            <w:pStyle w:val="Verzeichnis3"/>
            <w:tabs>
              <w:tab w:val="left" w:pos="1100"/>
              <w:tab w:val="right" w:leader="dot" w:pos="9060"/>
            </w:tabs>
            <w:rPr>
              <w:rFonts w:asciiTheme="minorHAnsi" w:eastAsiaTheme="minorEastAsia" w:hAnsiTheme="minorHAnsi"/>
              <w:noProof/>
              <w:sz w:val="22"/>
              <w:lang w:eastAsia="de-CH"/>
            </w:rPr>
          </w:pPr>
          <w:hyperlink w:anchor="_Toc161749163" w:history="1">
            <w:r w:rsidR="007C6931" w:rsidRPr="005B368F">
              <w:rPr>
                <w:rStyle w:val="Hyperlink"/>
                <w:noProof/>
              </w:rPr>
              <w:t>9.4.2</w:t>
            </w:r>
            <w:r w:rsidR="007C6931">
              <w:rPr>
                <w:rFonts w:asciiTheme="minorHAnsi" w:eastAsiaTheme="minorEastAsia" w:hAnsiTheme="minorHAnsi"/>
                <w:noProof/>
                <w:sz w:val="22"/>
                <w:lang w:eastAsia="de-CH"/>
              </w:rPr>
              <w:tab/>
            </w:r>
            <w:r w:rsidR="007C6931" w:rsidRPr="005B368F">
              <w:rPr>
                <w:rStyle w:val="Hyperlink"/>
                <w:noProof/>
              </w:rPr>
              <w:t>Scelta del gruppo sanguigno ABO/RH1 in caso di trasfusione massiccia</w:t>
            </w:r>
            <w:r w:rsidR="007C6931">
              <w:rPr>
                <w:noProof/>
                <w:webHidden/>
              </w:rPr>
              <w:tab/>
            </w:r>
            <w:r w:rsidR="007C6931">
              <w:rPr>
                <w:noProof/>
                <w:webHidden/>
              </w:rPr>
              <w:fldChar w:fldCharType="begin"/>
            </w:r>
            <w:r w:rsidR="007C6931">
              <w:rPr>
                <w:noProof/>
                <w:webHidden/>
              </w:rPr>
              <w:instrText xml:space="preserve"> PAGEREF _Toc161749163 \h </w:instrText>
            </w:r>
            <w:r w:rsidR="007C6931">
              <w:rPr>
                <w:noProof/>
                <w:webHidden/>
              </w:rPr>
            </w:r>
            <w:r w:rsidR="007C6931">
              <w:rPr>
                <w:noProof/>
                <w:webHidden/>
              </w:rPr>
              <w:fldChar w:fldCharType="separate"/>
            </w:r>
            <w:r w:rsidR="007C6931">
              <w:rPr>
                <w:noProof/>
                <w:webHidden/>
              </w:rPr>
              <w:t>36</w:t>
            </w:r>
            <w:r w:rsidR="007C6931">
              <w:rPr>
                <w:noProof/>
                <w:webHidden/>
              </w:rPr>
              <w:fldChar w:fldCharType="end"/>
            </w:r>
          </w:hyperlink>
        </w:p>
        <w:p w14:paraId="308911C7" w14:textId="37F30D8D" w:rsidR="007C6931" w:rsidRDefault="00654E10">
          <w:pPr>
            <w:pStyle w:val="Verzeichnis2"/>
            <w:rPr>
              <w:rFonts w:asciiTheme="minorHAnsi" w:eastAsiaTheme="minorEastAsia" w:hAnsiTheme="minorHAnsi"/>
              <w:noProof/>
              <w:sz w:val="22"/>
              <w:lang w:eastAsia="de-CH"/>
            </w:rPr>
          </w:pPr>
          <w:hyperlink w:anchor="_Toc161749164" w:history="1">
            <w:r w:rsidR="007C6931" w:rsidRPr="005B368F">
              <w:rPr>
                <w:rStyle w:val="Hyperlink"/>
                <w:noProof/>
              </w:rPr>
              <w:t>9.5</w:t>
            </w:r>
            <w:r w:rsidR="007C6931">
              <w:rPr>
                <w:rFonts w:asciiTheme="minorHAnsi" w:eastAsiaTheme="minorEastAsia" w:hAnsiTheme="minorHAnsi"/>
                <w:noProof/>
                <w:sz w:val="22"/>
                <w:lang w:eastAsia="de-CH"/>
              </w:rPr>
              <w:tab/>
            </w:r>
            <w:r w:rsidR="007C6931" w:rsidRPr="005B368F">
              <w:rPr>
                <w:rStyle w:val="Hyperlink"/>
                <w:noProof/>
              </w:rPr>
              <w:t>Anemia emolitica autoimmune</w:t>
            </w:r>
            <w:r w:rsidR="007C6931">
              <w:rPr>
                <w:noProof/>
                <w:webHidden/>
              </w:rPr>
              <w:tab/>
            </w:r>
            <w:r w:rsidR="007C6931">
              <w:rPr>
                <w:noProof/>
                <w:webHidden/>
              </w:rPr>
              <w:fldChar w:fldCharType="begin"/>
            </w:r>
            <w:r w:rsidR="007C6931">
              <w:rPr>
                <w:noProof/>
                <w:webHidden/>
              </w:rPr>
              <w:instrText xml:space="preserve"> PAGEREF _Toc161749164 \h </w:instrText>
            </w:r>
            <w:r w:rsidR="007C6931">
              <w:rPr>
                <w:noProof/>
                <w:webHidden/>
              </w:rPr>
            </w:r>
            <w:r w:rsidR="007C6931">
              <w:rPr>
                <w:noProof/>
                <w:webHidden/>
              </w:rPr>
              <w:fldChar w:fldCharType="separate"/>
            </w:r>
            <w:r w:rsidR="007C6931">
              <w:rPr>
                <w:noProof/>
                <w:webHidden/>
              </w:rPr>
              <w:t>37</w:t>
            </w:r>
            <w:r w:rsidR="007C6931">
              <w:rPr>
                <w:noProof/>
                <w:webHidden/>
              </w:rPr>
              <w:fldChar w:fldCharType="end"/>
            </w:r>
          </w:hyperlink>
        </w:p>
        <w:p w14:paraId="157BC19C" w14:textId="26FAAD78" w:rsidR="007C6931" w:rsidRDefault="00654E10">
          <w:pPr>
            <w:pStyle w:val="Verzeichnis2"/>
            <w:rPr>
              <w:rFonts w:asciiTheme="minorHAnsi" w:eastAsiaTheme="minorEastAsia" w:hAnsiTheme="minorHAnsi"/>
              <w:noProof/>
              <w:sz w:val="22"/>
              <w:lang w:eastAsia="de-CH"/>
            </w:rPr>
          </w:pPr>
          <w:hyperlink w:anchor="_Toc161749165" w:history="1">
            <w:r w:rsidR="007C6931" w:rsidRPr="005B368F">
              <w:rPr>
                <w:rStyle w:val="Hyperlink"/>
                <w:noProof/>
              </w:rPr>
              <w:t>9.6</w:t>
            </w:r>
            <w:r w:rsidR="007C6931">
              <w:rPr>
                <w:rFonts w:asciiTheme="minorHAnsi" w:eastAsiaTheme="minorEastAsia" w:hAnsiTheme="minorHAnsi"/>
                <w:noProof/>
                <w:sz w:val="22"/>
                <w:lang w:eastAsia="de-CH"/>
              </w:rPr>
              <w:tab/>
            </w:r>
            <w:r w:rsidR="007C6931" w:rsidRPr="005B368F">
              <w:rPr>
                <w:rStyle w:val="Hyperlink"/>
                <w:noProof/>
              </w:rPr>
              <w:t>Trasfusioni croniche</w:t>
            </w:r>
            <w:r w:rsidR="007C6931">
              <w:rPr>
                <w:noProof/>
                <w:webHidden/>
              </w:rPr>
              <w:tab/>
            </w:r>
            <w:r w:rsidR="007C6931">
              <w:rPr>
                <w:noProof/>
                <w:webHidden/>
              </w:rPr>
              <w:fldChar w:fldCharType="begin"/>
            </w:r>
            <w:r w:rsidR="007C6931">
              <w:rPr>
                <w:noProof/>
                <w:webHidden/>
              </w:rPr>
              <w:instrText xml:space="preserve"> PAGEREF _Toc161749165 \h </w:instrText>
            </w:r>
            <w:r w:rsidR="007C6931">
              <w:rPr>
                <w:noProof/>
                <w:webHidden/>
              </w:rPr>
            </w:r>
            <w:r w:rsidR="007C6931">
              <w:rPr>
                <w:noProof/>
                <w:webHidden/>
              </w:rPr>
              <w:fldChar w:fldCharType="separate"/>
            </w:r>
            <w:r w:rsidR="007C6931">
              <w:rPr>
                <w:noProof/>
                <w:webHidden/>
              </w:rPr>
              <w:t>37</w:t>
            </w:r>
            <w:r w:rsidR="007C6931">
              <w:rPr>
                <w:noProof/>
                <w:webHidden/>
              </w:rPr>
              <w:fldChar w:fldCharType="end"/>
            </w:r>
          </w:hyperlink>
        </w:p>
        <w:p w14:paraId="47BF27A2" w14:textId="2E7C2765" w:rsidR="007C6931" w:rsidRDefault="00654E10">
          <w:pPr>
            <w:pStyle w:val="Verzeichnis2"/>
            <w:rPr>
              <w:rFonts w:asciiTheme="minorHAnsi" w:eastAsiaTheme="minorEastAsia" w:hAnsiTheme="minorHAnsi"/>
              <w:noProof/>
              <w:sz w:val="22"/>
              <w:lang w:eastAsia="de-CH"/>
            </w:rPr>
          </w:pPr>
          <w:hyperlink w:anchor="_Toc161749166" w:history="1">
            <w:r w:rsidR="007C6931" w:rsidRPr="005B368F">
              <w:rPr>
                <w:rStyle w:val="Hyperlink"/>
                <w:noProof/>
              </w:rPr>
              <w:t>9.7</w:t>
            </w:r>
            <w:r w:rsidR="007C6931">
              <w:rPr>
                <w:rFonts w:asciiTheme="minorHAnsi" w:eastAsiaTheme="minorEastAsia" w:hAnsiTheme="minorHAnsi"/>
                <w:noProof/>
                <w:sz w:val="22"/>
                <w:lang w:eastAsia="de-CH"/>
              </w:rPr>
              <w:tab/>
            </w:r>
            <w:r w:rsidR="007C6931" w:rsidRPr="005B368F">
              <w:rPr>
                <w:rStyle w:val="Hyperlink"/>
                <w:noProof/>
              </w:rPr>
              <w:t>Trasfusione di concentrati eritrocitari irradiati</w:t>
            </w:r>
            <w:r w:rsidR="007C6931">
              <w:rPr>
                <w:noProof/>
                <w:webHidden/>
              </w:rPr>
              <w:tab/>
            </w:r>
            <w:r w:rsidR="007C6931">
              <w:rPr>
                <w:noProof/>
                <w:webHidden/>
              </w:rPr>
              <w:fldChar w:fldCharType="begin"/>
            </w:r>
            <w:r w:rsidR="007C6931">
              <w:rPr>
                <w:noProof/>
                <w:webHidden/>
              </w:rPr>
              <w:instrText xml:space="preserve"> PAGEREF _Toc161749166 \h </w:instrText>
            </w:r>
            <w:r w:rsidR="007C6931">
              <w:rPr>
                <w:noProof/>
                <w:webHidden/>
              </w:rPr>
            </w:r>
            <w:r w:rsidR="007C6931">
              <w:rPr>
                <w:noProof/>
                <w:webHidden/>
              </w:rPr>
              <w:fldChar w:fldCharType="separate"/>
            </w:r>
            <w:r w:rsidR="007C6931">
              <w:rPr>
                <w:noProof/>
                <w:webHidden/>
              </w:rPr>
              <w:t>37</w:t>
            </w:r>
            <w:r w:rsidR="007C6931">
              <w:rPr>
                <w:noProof/>
                <w:webHidden/>
              </w:rPr>
              <w:fldChar w:fldCharType="end"/>
            </w:r>
          </w:hyperlink>
        </w:p>
        <w:p w14:paraId="0B6040E8" w14:textId="5F03BDDB" w:rsidR="007C6931" w:rsidRDefault="00654E10">
          <w:pPr>
            <w:pStyle w:val="Verzeichnis2"/>
            <w:rPr>
              <w:rFonts w:asciiTheme="minorHAnsi" w:eastAsiaTheme="minorEastAsia" w:hAnsiTheme="minorHAnsi"/>
              <w:noProof/>
              <w:sz w:val="22"/>
              <w:lang w:eastAsia="de-CH"/>
            </w:rPr>
          </w:pPr>
          <w:hyperlink w:anchor="_Toc161749167" w:history="1">
            <w:r w:rsidR="007C6931" w:rsidRPr="005B368F">
              <w:rPr>
                <w:rStyle w:val="Hyperlink"/>
                <w:noProof/>
              </w:rPr>
              <w:t>9.8</w:t>
            </w:r>
            <w:r w:rsidR="007C6931">
              <w:rPr>
                <w:rFonts w:asciiTheme="minorHAnsi" w:eastAsiaTheme="minorEastAsia" w:hAnsiTheme="minorHAnsi"/>
                <w:noProof/>
                <w:sz w:val="22"/>
                <w:lang w:eastAsia="de-CH"/>
              </w:rPr>
              <w:tab/>
            </w:r>
            <w:r w:rsidR="007C6931" w:rsidRPr="005B368F">
              <w:rPr>
                <w:rStyle w:val="Hyperlink"/>
                <w:noProof/>
              </w:rPr>
              <w:t>Procedura e scelta dei prodotti sanguigni nel caso di reazione trasfusionale allergica/anafilattica e deficienza da IgA</w:t>
            </w:r>
            <w:r w:rsidR="007C6931">
              <w:rPr>
                <w:noProof/>
                <w:webHidden/>
              </w:rPr>
              <w:tab/>
            </w:r>
            <w:r w:rsidR="007C6931">
              <w:rPr>
                <w:noProof/>
                <w:webHidden/>
              </w:rPr>
              <w:fldChar w:fldCharType="begin"/>
            </w:r>
            <w:r w:rsidR="007C6931">
              <w:rPr>
                <w:noProof/>
                <w:webHidden/>
              </w:rPr>
              <w:instrText xml:space="preserve"> PAGEREF _Toc161749167 \h </w:instrText>
            </w:r>
            <w:r w:rsidR="007C6931">
              <w:rPr>
                <w:noProof/>
                <w:webHidden/>
              </w:rPr>
            </w:r>
            <w:r w:rsidR="007C6931">
              <w:rPr>
                <w:noProof/>
                <w:webHidden/>
              </w:rPr>
              <w:fldChar w:fldCharType="separate"/>
            </w:r>
            <w:r w:rsidR="007C6931">
              <w:rPr>
                <w:noProof/>
                <w:webHidden/>
              </w:rPr>
              <w:t>38</w:t>
            </w:r>
            <w:r w:rsidR="007C6931">
              <w:rPr>
                <w:noProof/>
                <w:webHidden/>
              </w:rPr>
              <w:fldChar w:fldCharType="end"/>
            </w:r>
          </w:hyperlink>
        </w:p>
        <w:p w14:paraId="06A6A999" w14:textId="21ABBF17" w:rsidR="007C6931" w:rsidRDefault="00654E10">
          <w:pPr>
            <w:pStyle w:val="Verzeichnis2"/>
            <w:rPr>
              <w:rFonts w:asciiTheme="minorHAnsi" w:eastAsiaTheme="minorEastAsia" w:hAnsiTheme="minorHAnsi"/>
              <w:noProof/>
              <w:sz w:val="22"/>
              <w:lang w:eastAsia="de-CH"/>
            </w:rPr>
          </w:pPr>
          <w:hyperlink w:anchor="_Toc161749168" w:history="1">
            <w:r w:rsidR="007C6931" w:rsidRPr="005B368F">
              <w:rPr>
                <w:rStyle w:val="Hyperlink"/>
                <w:noProof/>
              </w:rPr>
              <w:t>9.9</w:t>
            </w:r>
            <w:r w:rsidR="007C6931">
              <w:rPr>
                <w:rFonts w:asciiTheme="minorHAnsi" w:eastAsiaTheme="minorEastAsia" w:hAnsiTheme="minorHAnsi"/>
                <w:noProof/>
                <w:sz w:val="22"/>
                <w:lang w:eastAsia="de-CH"/>
              </w:rPr>
              <w:tab/>
            </w:r>
            <w:r w:rsidR="007C6931" w:rsidRPr="005B368F">
              <w:rPr>
                <w:rStyle w:val="Hyperlink"/>
                <w:noProof/>
              </w:rPr>
              <w:t>Procedura e scelta dei prodotti sanguigni nella terapia con anticorpi monoclonali</w:t>
            </w:r>
            <w:r w:rsidR="007C6931">
              <w:rPr>
                <w:noProof/>
                <w:webHidden/>
              </w:rPr>
              <w:tab/>
            </w:r>
            <w:r w:rsidR="007C6931">
              <w:rPr>
                <w:noProof/>
                <w:webHidden/>
              </w:rPr>
              <w:fldChar w:fldCharType="begin"/>
            </w:r>
            <w:r w:rsidR="007C6931">
              <w:rPr>
                <w:noProof/>
                <w:webHidden/>
              </w:rPr>
              <w:instrText xml:space="preserve"> PAGEREF _Toc161749168 \h </w:instrText>
            </w:r>
            <w:r w:rsidR="007C6931">
              <w:rPr>
                <w:noProof/>
                <w:webHidden/>
              </w:rPr>
            </w:r>
            <w:r w:rsidR="007C6931">
              <w:rPr>
                <w:noProof/>
                <w:webHidden/>
              </w:rPr>
              <w:fldChar w:fldCharType="separate"/>
            </w:r>
            <w:r w:rsidR="007C6931">
              <w:rPr>
                <w:noProof/>
                <w:webHidden/>
              </w:rPr>
              <w:t>38</w:t>
            </w:r>
            <w:r w:rsidR="007C6931">
              <w:rPr>
                <w:noProof/>
                <w:webHidden/>
              </w:rPr>
              <w:fldChar w:fldCharType="end"/>
            </w:r>
          </w:hyperlink>
        </w:p>
        <w:p w14:paraId="42C51797" w14:textId="789221C6" w:rsidR="007C6931" w:rsidRDefault="00654E10">
          <w:pPr>
            <w:pStyle w:val="Verzeichnis2"/>
            <w:rPr>
              <w:rFonts w:asciiTheme="minorHAnsi" w:eastAsiaTheme="minorEastAsia" w:hAnsiTheme="minorHAnsi"/>
              <w:noProof/>
              <w:sz w:val="22"/>
              <w:lang w:eastAsia="de-CH"/>
            </w:rPr>
          </w:pPr>
          <w:hyperlink w:anchor="_Toc161749169" w:history="1">
            <w:r w:rsidR="007C6931" w:rsidRPr="005B368F">
              <w:rPr>
                <w:rStyle w:val="Hyperlink"/>
                <w:noProof/>
              </w:rPr>
              <w:t>9.10</w:t>
            </w:r>
            <w:r w:rsidR="007C6931">
              <w:rPr>
                <w:rFonts w:asciiTheme="minorHAnsi" w:eastAsiaTheme="minorEastAsia" w:hAnsiTheme="minorHAnsi"/>
                <w:noProof/>
                <w:sz w:val="22"/>
                <w:lang w:eastAsia="de-CH"/>
              </w:rPr>
              <w:tab/>
            </w:r>
            <w:r w:rsidR="007C6931" w:rsidRPr="005B368F">
              <w:rPr>
                <w:rStyle w:val="Hyperlink"/>
                <w:noProof/>
              </w:rPr>
              <w:t>Trapianti</w:t>
            </w:r>
            <w:r w:rsidR="007C6931">
              <w:rPr>
                <w:noProof/>
                <w:webHidden/>
              </w:rPr>
              <w:tab/>
            </w:r>
            <w:r w:rsidR="007C6931">
              <w:rPr>
                <w:noProof/>
                <w:webHidden/>
              </w:rPr>
              <w:fldChar w:fldCharType="begin"/>
            </w:r>
            <w:r w:rsidR="007C6931">
              <w:rPr>
                <w:noProof/>
                <w:webHidden/>
              </w:rPr>
              <w:instrText xml:space="preserve"> PAGEREF _Toc161749169 \h </w:instrText>
            </w:r>
            <w:r w:rsidR="007C6931">
              <w:rPr>
                <w:noProof/>
                <w:webHidden/>
              </w:rPr>
            </w:r>
            <w:r w:rsidR="007C6931">
              <w:rPr>
                <w:noProof/>
                <w:webHidden/>
              </w:rPr>
              <w:fldChar w:fldCharType="separate"/>
            </w:r>
            <w:r w:rsidR="007C6931">
              <w:rPr>
                <w:noProof/>
                <w:webHidden/>
              </w:rPr>
              <w:t>39</w:t>
            </w:r>
            <w:r w:rsidR="007C6931">
              <w:rPr>
                <w:noProof/>
                <w:webHidden/>
              </w:rPr>
              <w:fldChar w:fldCharType="end"/>
            </w:r>
          </w:hyperlink>
        </w:p>
        <w:p w14:paraId="1E26E0DC" w14:textId="397F9D8F" w:rsidR="007C6931" w:rsidRDefault="00654E10">
          <w:pPr>
            <w:pStyle w:val="Verzeichnis3"/>
            <w:tabs>
              <w:tab w:val="left" w:pos="1320"/>
              <w:tab w:val="right" w:leader="dot" w:pos="9060"/>
            </w:tabs>
            <w:rPr>
              <w:rFonts w:asciiTheme="minorHAnsi" w:eastAsiaTheme="minorEastAsia" w:hAnsiTheme="minorHAnsi"/>
              <w:noProof/>
              <w:sz w:val="22"/>
              <w:lang w:eastAsia="de-CH"/>
            </w:rPr>
          </w:pPr>
          <w:hyperlink w:anchor="_Toc161749170" w:history="1">
            <w:r w:rsidR="007C6931" w:rsidRPr="005B368F">
              <w:rPr>
                <w:rStyle w:val="Hyperlink"/>
                <w:noProof/>
              </w:rPr>
              <w:t>9.10.1</w:t>
            </w:r>
            <w:r w:rsidR="007C6931">
              <w:rPr>
                <w:rFonts w:asciiTheme="minorHAnsi" w:eastAsiaTheme="minorEastAsia" w:hAnsiTheme="minorHAnsi"/>
                <w:noProof/>
                <w:sz w:val="22"/>
                <w:lang w:eastAsia="de-CH"/>
              </w:rPr>
              <w:tab/>
            </w:r>
            <w:r w:rsidR="007C6931" w:rsidRPr="005B368F">
              <w:rPr>
                <w:rStyle w:val="Hyperlink"/>
                <w:noProof/>
              </w:rPr>
              <w:t>Trapianti di organi</w:t>
            </w:r>
            <w:r w:rsidR="007C6931">
              <w:rPr>
                <w:noProof/>
                <w:webHidden/>
              </w:rPr>
              <w:tab/>
            </w:r>
            <w:r w:rsidR="007C6931">
              <w:rPr>
                <w:noProof/>
                <w:webHidden/>
              </w:rPr>
              <w:fldChar w:fldCharType="begin"/>
            </w:r>
            <w:r w:rsidR="007C6931">
              <w:rPr>
                <w:noProof/>
                <w:webHidden/>
              </w:rPr>
              <w:instrText xml:space="preserve"> PAGEREF _Toc161749170 \h </w:instrText>
            </w:r>
            <w:r w:rsidR="007C6931">
              <w:rPr>
                <w:noProof/>
                <w:webHidden/>
              </w:rPr>
            </w:r>
            <w:r w:rsidR="007C6931">
              <w:rPr>
                <w:noProof/>
                <w:webHidden/>
              </w:rPr>
              <w:fldChar w:fldCharType="separate"/>
            </w:r>
            <w:r w:rsidR="007C6931">
              <w:rPr>
                <w:noProof/>
                <w:webHidden/>
              </w:rPr>
              <w:t>39</w:t>
            </w:r>
            <w:r w:rsidR="007C6931">
              <w:rPr>
                <w:noProof/>
                <w:webHidden/>
              </w:rPr>
              <w:fldChar w:fldCharType="end"/>
            </w:r>
          </w:hyperlink>
        </w:p>
        <w:p w14:paraId="548D2C11" w14:textId="317F239F" w:rsidR="007C6931" w:rsidRDefault="00654E10">
          <w:pPr>
            <w:pStyle w:val="Verzeichnis3"/>
            <w:tabs>
              <w:tab w:val="left" w:pos="1320"/>
              <w:tab w:val="right" w:leader="dot" w:pos="9060"/>
            </w:tabs>
            <w:rPr>
              <w:rFonts w:asciiTheme="minorHAnsi" w:eastAsiaTheme="minorEastAsia" w:hAnsiTheme="minorHAnsi"/>
              <w:noProof/>
              <w:sz w:val="22"/>
              <w:lang w:eastAsia="de-CH"/>
            </w:rPr>
          </w:pPr>
          <w:hyperlink w:anchor="_Toc161749171" w:history="1">
            <w:r w:rsidR="007C6931" w:rsidRPr="005B368F">
              <w:rPr>
                <w:rStyle w:val="Hyperlink"/>
                <w:noProof/>
              </w:rPr>
              <w:t>9.10.2</w:t>
            </w:r>
            <w:r w:rsidR="007C6931">
              <w:rPr>
                <w:rFonts w:asciiTheme="minorHAnsi" w:eastAsiaTheme="minorEastAsia" w:hAnsiTheme="minorHAnsi"/>
                <w:noProof/>
                <w:sz w:val="22"/>
                <w:lang w:eastAsia="de-CH"/>
              </w:rPr>
              <w:tab/>
            </w:r>
            <w:r w:rsidR="007C6931" w:rsidRPr="005B368F">
              <w:rPr>
                <w:rStyle w:val="Hyperlink"/>
                <w:noProof/>
              </w:rPr>
              <w:t>Trapianto di cellule staminali allogeniche (donatore diverso dal ricevente)</w:t>
            </w:r>
            <w:r w:rsidR="007C6931">
              <w:rPr>
                <w:noProof/>
                <w:webHidden/>
              </w:rPr>
              <w:tab/>
            </w:r>
            <w:r w:rsidR="007C6931">
              <w:rPr>
                <w:noProof/>
                <w:webHidden/>
              </w:rPr>
              <w:fldChar w:fldCharType="begin"/>
            </w:r>
            <w:r w:rsidR="007C6931">
              <w:rPr>
                <w:noProof/>
                <w:webHidden/>
              </w:rPr>
              <w:instrText xml:space="preserve"> PAGEREF _Toc161749171 \h </w:instrText>
            </w:r>
            <w:r w:rsidR="007C6931">
              <w:rPr>
                <w:noProof/>
                <w:webHidden/>
              </w:rPr>
            </w:r>
            <w:r w:rsidR="007C6931">
              <w:rPr>
                <w:noProof/>
                <w:webHidden/>
              </w:rPr>
              <w:fldChar w:fldCharType="separate"/>
            </w:r>
            <w:r w:rsidR="007C6931">
              <w:rPr>
                <w:noProof/>
                <w:webHidden/>
              </w:rPr>
              <w:t>39</w:t>
            </w:r>
            <w:r w:rsidR="007C6931">
              <w:rPr>
                <w:noProof/>
                <w:webHidden/>
              </w:rPr>
              <w:fldChar w:fldCharType="end"/>
            </w:r>
          </w:hyperlink>
        </w:p>
        <w:p w14:paraId="46E06157" w14:textId="3BB303AE" w:rsidR="007C6931" w:rsidRDefault="00654E10">
          <w:pPr>
            <w:pStyle w:val="Verzeichnis2"/>
            <w:rPr>
              <w:rFonts w:asciiTheme="minorHAnsi" w:eastAsiaTheme="minorEastAsia" w:hAnsiTheme="minorHAnsi"/>
              <w:noProof/>
              <w:sz w:val="22"/>
              <w:lang w:eastAsia="de-CH"/>
            </w:rPr>
          </w:pPr>
          <w:hyperlink w:anchor="_Toc161749172" w:history="1">
            <w:r w:rsidR="007C6931" w:rsidRPr="005B368F">
              <w:rPr>
                <w:rStyle w:val="Hyperlink"/>
                <w:noProof/>
              </w:rPr>
              <w:t>9.11</w:t>
            </w:r>
            <w:r w:rsidR="007C6931">
              <w:rPr>
                <w:rFonts w:asciiTheme="minorHAnsi" w:eastAsiaTheme="minorEastAsia" w:hAnsiTheme="minorHAnsi"/>
                <w:noProof/>
                <w:sz w:val="22"/>
                <w:lang w:eastAsia="de-CH"/>
              </w:rPr>
              <w:tab/>
            </w:r>
            <w:r w:rsidR="007C6931" w:rsidRPr="005B368F">
              <w:rPr>
                <w:rStyle w:val="Hyperlink"/>
                <w:noProof/>
              </w:rPr>
              <w:t>Drepanocitosi</w:t>
            </w:r>
            <w:r w:rsidR="007C6931">
              <w:rPr>
                <w:noProof/>
                <w:webHidden/>
              </w:rPr>
              <w:tab/>
            </w:r>
            <w:r w:rsidR="007C6931">
              <w:rPr>
                <w:noProof/>
                <w:webHidden/>
              </w:rPr>
              <w:fldChar w:fldCharType="begin"/>
            </w:r>
            <w:r w:rsidR="007C6931">
              <w:rPr>
                <w:noProof/>
                <w:webHidden/>
              </w:rPr>
              <w:instrText xml:space="preserve"> PAGEREF _Toc161749172 \h </w:instrText>
            </w:r>
            <w:r w:rsidR="007C6931">
              <w:rPr>
                <w:noProof/>
                <w:webHidden/>
              </w:rPr>
            </w:r>
            <w:r w:rsidR="007C6931">
              <w:rPr>
                <w:noProof/>
                <w:webHidden/>
              </w:rPr>
              <w:fldChar w:fldCharType="separate"/>
            </w:r>
            <w:r w:rsidR="007C6931">
              <w:rPr>
                <w:noProof/>
                <w:webHidden/>
              </w:rPr>
              <w:t>39</w:t>
            </w:r>
            <w:r w:rsidR="007C6931">
              <w:rPr>
                <w:noProof/>
                <w:webHidden/>
              </w:rPr>
              <w:fldChar w:fldCharType="end"/>
            </w:r>
          </w:hyperlink>
        </w:p>
        <w:p w14:paraId="2903264A" w14:textId="7F067AD5" w:rsidR="007C6931" w:rsidRDefault="00654E10">
          <w:pPr>
            <w:pStyle w:val="Verzeichnis1"/>
            <w:tabs>
              <w:tab w:val="left" w:pos="660"/>
              <w:tab w:val="right" w:leader="dot" w:pos="9060"/>
            </w:tabs>
            <w:rPr>
              <w:rFonts w:asciiTheme="minorHAnsi" w:eastAsiaTheme="minorEastAsia" w:hAnsiTheme="minorHAnsi"/>
              <w:b w:val="0"/>
              <w:noProof/>
              <w:sz w:val="22"/>
              <w:lang w:eastAsia="de-CH"/>
            </w:rPr>
          </w:pPr>
          <w:hyperlink w:anchor="_Toc161749173" w:history="1">
            <w:r w:rsidR="007C6931" w:rsidRPr="005B368F">
              <w:rPr>
                <w:rStyle w:val="Hyperlink"/>
                <w:noProof/>
              </w:rPr>
              <w:t>10</w:t>
            </w:r>
            <w:r w:rsidR="007C6931">
              <w:rPr>
                <w:rFonts w:asciiTheme="minorHAnsi" w:eastAsiaTheme="minorEastAsia" w:hAnsiTheme="minorHAnsi"/>
                <w:b w:val="0"/>
                <w:noProof/>
                <w:sz w:val="22"/>
                <w:lang w:eastAsia="de-CH"/>
              </w:rPr>
              <w:tab/>
            </w:r>
            <w:r w:rsidR="007C6931" w:rsidRPr="005B368F">
              <w:rPr>
                <w:rStyle w:val="Hyperlink"/>
                <w:noProof/>
              </w:rPr>
              <w:t>Reazioni trasfusionali indesiderate ed errori trasfusionali</w:t>
            </w:r>
            <w:r w:rsidR="007C6931">
              <w:rPr>
                <w:noProof/>
                <w:webHidden/>
              </w:rPr>
              <w:tab/>
            </w:r>
            <w:r w:rsidR="007C6931">
              <w:rPr>
                <w:noProof/>
                <w:webHidden/>
              </w:rPr>
              <w:fldChar w:fldCharType="begin"/>
            </w:r>
            <w:r w:rsidR="007C6931">
              <w:rPr>
                <w:noProof/>
                <w:webHidden/>
              </w:rPr>
              <w:instrText xml:space="preserve"> PAGEREF _Toc161749173 \h </w:instrText>
            </w:r>
            <w:r w:rsidR="007C6931">
              <w:rPr>
                <w:noProof/>
                <w:webHidden/>
              </w:rPr>
            </w:r>
            <w:r w:rsidR="007C6931">
              <w:rPr>
                <w:noProof/>
                <w:webHidden/>
              </w:rPr>
              <w:fldChar w:fldCharType="separate"/>
            </w:r>
            <w:r w:rsidR="007C6931">
              <w:rPr>
                <w:noProof/>
                <w:webHidden/>
              </w:rPr>
              <w:t>41</w:t>
            </w:r>
            <w:r w:rsidR="007C6931">
              <w:rPr>
                <w:noProof/>
                <w:webHidden/>
              </w:rPr>
              <w:fldChar w:fldCharType="end"/>
            </w:r>
          </w:hyperlink>
        </w:p>
        <w:p w14:paraId="78E0BCFF" w14:textId="129D7588" w:rsidR="007C6931" w:rsidRDefault="00654E10">
          <w:pPr>
            <w:pStyle w:val="Verzeichnis2"/>
            <w:rPr>
              <w:rFonts w:asciiTheme="minorHAnsi" w:eastAsiaTheme="minorEastAsia" w:hAnsiTheme="minorHAnsi"/>
              <w:noProof/>
              <w:sz w:val="22"/>
              <w:lang w:eastAsia="de-CH"/>
            </w:rPr>
          </w:pPr>
          <w:hyperlink w:anchor="_Toc161749174" w:history="1">
            <w:r w:rsidR="007C6931" w:rsidRPr="005B368F">
              <w:rPr>
                <w:rStyle w:val="Hyperlink"/>
                <w:noProof/>
              </w:rPr>
              <w:t>10.1</w:t>
            </w:r>
            <w:r w:rsidR="007C6931">
              <w:rPr>
                <w:rFonts w:asciiTheme="minorHAnsi" w:eastAsiaTheme="minorEastAsia" w:hAnsiTheme="minorHAnsi"/>
                <w:noProof/>
                <w:sz w:val="22"/>
                <w:lang w:eastAsia="de-CH"/>
              </w:rPr>
              <w:tab/>
            </w:r>
            <w:r w:rsidR="007C6931" w:rsidRPr="005B368F">
              <w:rPr>
                <w:rStyle w:val="Hyperlink"/>
                <w:noProof/>
              </w:rPr>
              <w:t>Reazioni avverse alla trasfusione</w:t>
            </w:r>
            <w:r w:rsidR="007C6931">
              <w:rPr>
                <w:noProof/>
                <w:webHidden/>
              </w:rPr>
              <w:tab/>
            </w:r>
            <w:r w:rsidR="007C6931">
              <w:rPr>
                <w:noProof/>
                <w:webHidden/>
              </w:rPr>
              <w:fldChar w:fldCharType="begin"/>
            </w:r>
            <w:r w:rsidR="007C6931">
              <w:rPr>
                <w:noProof/>
                <w:webHidden/>
              </w:rPr>
              <w:instrText xml:space="preserve"> PAGEREF _Toc161749174 \h </w:instrText>
            </w:r>
            <w:r w:rsidR="007C6931">
              <w:rPr>
                <w:noProof/>
                <w:webHidden/>
              </w:rPr>
            </w:r>
            <w:r w:rsidR="007C6931">
              <w:rPr>
                <w:noProof/>
                <w:webHidden/>
              </w:rPr>
              <w:fldChar w:fldCharType="separate"/>
            </w:r>
            <w:r w:rsidR="007C6931">
              <w:rPr>
                <w:noProof/>
                <w:webHidden/>
              </w:rPr>
              <w:t>41</w:t>
            </w:r>
            <w:r w:rsidR="007C6931">
              <w:rPr>
                <w:noProof/>
                <w:webHidden/>
              </w:rPr>
              <w:fldChar w:fldCharType="end"/>
            </w:r>
          </w:hyperlink>
        </w:p>
        <w:p w14:paraId="60BF73DA" w14:textId="36AE9A35" w:rsidR="007C6931" w:rsidRDefault="00654E10">
          <w:pPr>
            <w:pStyle w:val="Verzeichnis2"/>
            <w:rPr>
              <w:rFonts w:asciiTheme="minorHAnsi" w:eastAsiaTheme="minorEastAsia" w:hAnsiTheme="minorHAnsi"/>
              <w:noProof/>
              <w:sz w:val="22"/>
              <w:lang w:eastAsia="de-CH"/>
            </w:rPr>
          </w:pPr>
          <w:hyperlink w:anchor="_Toc161749175" w:history="1">
            <w:r w:rsidR="007C6931" w:rsidRPr="005B368F">
              <w:rPr>
                <w:rStyle w:val="Hyperlink"/>
                <w:noProof/>
              </w:rPr>
              <w:t>10.1.1 Generalità</w:t>
            </w:r>
            <w:r w:rsidR="007C6931">
              <w:rPr>
                <w:noProof/>
                <w:webHidden/>
              </w:rPr>
              <w:tab/>
            </w:r>
            <w:r w:rsidR="007C6931">
              <w:rPr>
                <w:noProof/>
                <w:webHidden/>
              </w:rPr>
              <w:fldChar w:fldCharType="begin"/>
            </w:r>
            <w:r w:rsidR="007C6931">
              <w:rPr>
                <w:noProof/>
                <w:webHidden/>
              </w:rPr>
              <w:instrText xml:space="preserve"> PAGEREF _Toc161749175 \h </w:instrText>
            </w:r>
            <w:r w:rsidR="007C6931">
              <w:rPr>
                <w:noProof/>
                <w:webHidden/>
              </w:rPr>
            </w:r>
            <w:r w:rsidR="007C6931">
              <w:rPr>
                <w:noProof/>
                <w:webHidden/>
              </w:rPr>
              <w:fldChar w:fldCharType="separate"/>
            </w:r>
            <w:r w:rsidR="007C6931">
              <w:rPr>
                <w:noProof/>
                <w:webHidden/>
              </w:rPr>
              <w:t>41</w:t>
            </w:r>
            <w:r w:rsidR="007C6931">
              <w:rPr>
                <w:noProof/>
                <w:webHidden/>
              </w:rPr>
              <w:fldChar w:fldCharType="end"/>
            </w:r>
          </w:hyperlink>
        </w:p>
        <w:p w14:paraId="2BCC5DB8" w14:textId="0385B408" w:rsidR="007C6931" w:rsidRDefault="00654E10">
          <w:pPr>
            <w:pStyle w:val="Verzeichnis2"/>
            <w:rPr>
              <w:rFonts w:asciiTheme="minorHAnsi" w:eastAsiaTheme="minorEastAsia" w:hAnsiTheme="minorHAnsi"/>
              <w:noProof/>
              <w:sz w:val="22"/>
              <w:lang w:eastAsia="de-CH"/>
            </w:rPr>
          </w:pPr>
          <w:hyperlink w:anchor="_Toc161749176" w:history="1">
            <w:r w:rsidR="007C6931" w:rsidRPr="005B368F">
              <w:rPr>
                <w:rStyle w:val="Hyperlink"/>
                <w:noProof/>
              </w:rPr>
              <w:t>10.1.2 Indagini da eseguire in caso di sospetta reazione trasfusionale emolitica</w:t>
            </w:r>
            <w:r w:rsidR="007C6931">
              <w:rPr>
                <w:noProof/>
                <w:webHidden/>
              </w:rPr>
              <w:tab/>
            </w:r>
            <w:r w:rsidR="007C6931">
              <w:rPr>
                <w:noProof/>
                <w:webHidden/>
              </w:rPr>
              <w:fldChar w:fldCharType="begin"/>
            </w:r>
            <w:r w:rsidR="007C6931">
              <w:rPr>
                <w:noProof/>
                <w:webHidden/>
              </w:rPr>
              <w:instrText xml:space="preserve"> PAGEREF _Toc161749176 \h </w:instrText>
            </w:r>
            <w:r w:rsidR="007C6931">
              <w:rPr>
                <w:noProof/>
                <w:webHidden/>
              </w:rPr>
            </w:r>
            <w:r w:rsidR="007C6931">
              <w:rPr>
                <w:noProof/>
                <w:webHidden/>
              </w:rPr>
              <w:fldChar w:fldCharType="separate"/>
            </w:r>
            <w:r w:rsidR="007C6931">
              <w:rPr>
                <w:noProof/>
                <w:webHidden/>
              </w:rPr>
              <w:t>41</w:t>
            </w:r>
            <w:r w:rsidR="007C6931">
              <w:rPr>
                <w:noProof/>
                <w:webHidden/>
              </w:rPr>
              <w:fldChar w:fldCharType="end"/>
            </w:r>
          </w:hyperlink>
        </w:p>
        <w:p w14:paraId="5A34286B" w14:textId="53D82571" w:rsidR="007C6931" w:rsidRDefault="00654E10">
          <w:pPr>
            <w:pStyle w:val="Verzeichnis3"/>
            <w:tabs>
              <w:tab w:val="right" w:leader="dot" w:pos="9060"/>
            </w:tabs>
            <w:rPr>
              <w:rFonts w:asciiTheme="minorHAnsi" w:eastAsiaTheme="minorEastAsia" w:hAnsiTheme="minorHAnsi"/>
              <w:noProof/>
              <w:sz w:val="22"/>
              <w:lang w:eastAsia="de-CH"/>
            </w:rPr>
          </w:pPr>
          <w:hyperlink w:anchor="_Toc161749177" w:history="1">
            <w:r w:rsidR="007C6931" w:rsidRPr="005B368F">
              <w:rPr>
                <w:rStyle w:val="Hyperlink"/>
                <w:noProof/>
              </w:rPr>
              <w:t>10.1.2.1 Materiale</w:t>
            </w:r>
            <w:r w:rsidR="007C6931">
              <w:rPr>
                <w:noProof/>
                <w:webHidden/>
              </w:rPr>
              <w:tab/>
            </w:r>
            <w:r w:rsidR="007C6931">
              <w:rPr>
                <w:noProof/>
                <w:webHidden/>
              </w:rPr>
              <w:fldChar w:fldCharType="begin"/>
            </w:r>
            <w:r w:rsidR="007C6931">
              <w:rPr>
                <w:noProof/>
                <w:webHidden/>
              </w:rPr>
              <w:instrText xml:space="preserve"> PAGEREF _Toc161749177 \h </w:instrText>
            </w:r>
            <w:r w:rsidR="007C6931">
              <w:rPr>
                <w:noProof/>
                <w:webHidden/>
              </w:rPr>
            </w:r>
            <w:r w:rsidR="007C6931">
              <w:rPr>
                <w:noProof/>
                <w:webHidden/>
              </w:rPr>
              <w:fldChar w:fldCharType="separate"/>
            </w:r>
            <w:r w:rsidR="007C6931">
              <w:rPr>
                <w:noProof/>
                <w:webHidden/>
              </w:rPr>
              <w:t>41</w:t>
            </w:r>
            <w:r w:rsidR="007C6931">
              <w:rPr>
                <w:noProof/>
                <w:webHidden/>
              </w:rPr>
              <w:fldChar w:fldCharType="end"/>
            </w:r>
          </w:hyperlink>
        </w:p>
        <w:p w14:paraId="1DFF8324" w14:textId="29D26F8E" w:rsidR="007C6931" w:rsidRDefault="00654E10">
          <w:pPr>
            <w:pStyle w:val="Verzeichnis3"/>
            <w:tabs>
              <w:tab w:val="right" w:leader="dot" w:pos="9060"/>
            </w:tabs>
            <w:rPr>
              <w:rFonts w:asciiTheme="minorHAnsi" w:eastAsiaTheme="minorEastAsia" w:hAnsiTheme="minorHAnsi"/>
              <w:noProof/>
              <w:sz w:val="22"/>
              <w:lang w:eastAsia="de-CH"/>
            </w:rPr>
          </w:pPr>
          <w:hyperlink w:anchor="_Toc161749178" w:history="1">
            <w:r w:rsidR="007C6931" w:rsidRPr="005B368F">
              <w:rPr>
                <w:rStyle w:val="Hyperlink"/>
                <w:noProof/>
              </w:rPr>
              <w:t>10.1.2.2 Indagini immunoematologiche</w:t>
            </w:r>
            <w:r w:rsidR="007C6931">
              <w:rPr>
                <w:noProof/>
                <w:webHidden/>
              </w:rPr>
              <w:tab/>
            </w:r>
            <w:r w:rsidR="007C6931">
              <w:rPr>
                <w:noProof/>
                <w:webHidden/>
              </w:rPr>
              <w:fldChar w:fldCharType="begin"/>
            </w:r>
            <w:r w:rsidR="007C6931">
              <w:rPr>
                <w:noProof/>
                <w:webHidden/>
              </w:rPr>
              <w:instrText xml:space="preserve"> PAGEREF _Toc161749178 \h </w:instrText>
            </w:r>
            <w:r w:rsidR="007C6931">
              <w:rPr>
                <w:noProof/>
                <w:webHidden/>
              </w:rPr>
            </w:r>
            <w:r w:rsidR="007C6931">
              <w:rPr>
                <w:noProof/>
                <w:webHidden/>
              </w:rPr>
              <w:fldChar w:fldCharType="separate"/>
            </w:r>
            <w:r w:rsidR="007C6931">
              <w:rPr>
                <w:noProof/>
                <w:webHidden/>
              </w:rPr>
              <w:t>41</w:t>
            </w:r>
            <w:r w:rsidR="007C6931">
              <w:rPr>
                <w:noProof/>
                <w:webHidden/>
              </w:rPr>
              <w:fldChar w:fldCharType="end"/>
            </w:r>
          </w:hyperlink>
        </w:p>
        <w:p w14:paraId="6E56AFA0" w14:textId="760B1160" w:rsidR="007C6931" w:rsidRDefault="00654E10">
          <w:pPr>
            <w:pStyle w:val="Verzeichnis3"/>
            <w:tabs>
              <w:tab w:val="right" w:leader="dot" w:pos="9060"/>
            </w:tabs>
            <w:rPr>
              <w:rFonts w:asciiTheme="minorHAnsi" w:eastAsiaTheme="minorEastAsia" w:hAnsiTheme="minorHAnsi"/>
              <w:noProof/>
              <w:sz w:val="22"/>
              <w:lang w:eastAsia="de-CH"/>
            </w:rPr>
          </w:pPr>
          <w:hyperlink w:anchor="_Toc161749179" w:history="1">
            <w:r w:rsidR="007C6931" w:rsidRPr="005B368F">
              <w:rPr>
                <w:rStyle w:val="Hyperlink"/>
                <w:noProof/>
              </w:rPr>
              <w:t>10.1.2.3 Ulteriori indagini</w:t>
            </w:r>
            <w:r w:rsidR="007C6931">
              <w:rPr>
                <w:noProof/>
                <w:webHidden/>
              </w:rPr>
              <w:tab/>
            </w:r>
            <w:r w:rsidR="007C6931">
              <w:rPr>
                <w:noProof/>
                <w:webHidden/>
              </w:rPr>
              <w:fldChar w:fldCharType="begin"/>
            </w:r>
            <w:r w:rsidR="007C6931">
              <w:rPr>
                <w:noProof/>
                <w:webHidden/>
              </w:rPr>
              <w:instrText xml:space="preserve"> PAGEREF _Toc161749179 \h </w:instrText>
            </w:r>
            <w:r w:rsidR="007C6931">
              <w:rPr>
                <w:noProof/>
                <w:webHidden/>
              </w:rPr>
            </w:r>
            <w:r w:rsidR="007C6931">
              <w:rPr>
                <w:noProof/>
                <w:webHidden/>
              </w:rPr>
              <w:fldChar w:fldCharType="separate"/>
            </w:r>
            <w:r w:rsidR="007C6931">
              <w:rPr>
                <w:noProof/>
                <w:webHidden/>
              </w:rPr>
              <w:t>42</w:t>
            </w:r>
            <w:r w:rsidR="007C6931">
              <w:rPr>
                <w:noProof/>
                <w:webHidden/>
              </w:rPr>
              <w:fldChar w:fldCharType="end"/>
            </w:r>
          </w:hyperlink>
        </w:p>
        <w:p w14:paraId="0E9C8C22" w14:textId="1068D266" w:rsidR="007C6931" w:rsidRDefault="00654E10">
          <w:pPr>
            <w:pStyle w:val="Verzeichnis2"/>
            <w:rPr>
              <w:rFonts w:asciiTheme="minorHAnsi" w:eastAsiaTheme="minorEastAsia" w:hAnsiTheme="minorHAnsi"/>
              <w:noProof/>
              <w:sz w:val="22"/>
              <w:lang w:eastAsia="de-CH"/>
            </w:rPr>
          </w:pPr>
          <w:hyperlink w:anchor="_Toc161749180" w:history="1">
            <w:r w:rsidR="007C6931" w:rsidRPr="005B368F">
              <w:rPr>
                <w:rStyle w:val="Hyperlink"/>
                <w:noProof/>
              </w:rPr>
              <w:t>10.2</w:t>
            </w:r>
            <w:r w:rsidR="007C6931">
              <w:rPr>
                <w:rFonts w:asciiTheme="minorHAnsi" w:eastAsiaTheme="minorEastAsia" w:hAnsiTheme="minorHAnsi"/>
                <w:noProof/>
                <w:sz w:val="22"/>
                <w:lang w:eastAsia="de-CH"/>
              </w:rPr>
              <w:tab/>
            </w:r>
            <w:r w:rsidR="007C6931" w:rsidRPr="005B368F">
              <w:rPr>
                <w:rStyle w:val="Hyperlink"/>
                <w:noProof/>
              </w:rPr>
              <w:t>Errori Trasfusionali</w:t>
            </w:r>
            <w:r w:rsidR="007C6931">
              <w:rPr>
                <w:noProof/>
                <w:webHidden/>
              </w:rPr>
              <w:tab/>
            </w:r>
            <w:r w:rsidR="007C6931">
              <w:rPr>
                <w:noProof/>
                <w:webHidden/>
              </w:rPr>
              <w:fldChar w:fldCharType="begin"/>
            </w:r>
            <w:r w:rsidR="007C6931">
              <w:rPr>
                <w:noProof/>
                <w:webHidden/>
              </w:rPr>
              <w:instrText xml:space="preserve"> PAGEREF _Toc161749180 \h </w:instrText>
            </w:r>
            <w:r w:rsidR="007C6931">
              <w:rPr>
                <w:noProof/>
                <w:webHidden/>
              </w:rPr>
            </w:r>
            <w:r w:rsidR="007C6931">
              <w:rPr>
                <w:noProof/>
                <w:webHidden/>
              </w:rPr>
              <w:fldChar w:fldCharType="separate"/>
            </w:r>
            <w:r w:rsidR="007C6931">
              <w:rPr>
                <w:noProof/>
                <w:webHidden/>
              </w:rPr>
              <w:t>42</w:t>
            </w:r>
            <w:r w:rsidR="007C6931">
              <w:rPr>
                <w:noProof/>
                <w:webHidden/>
              </w:rPr>
              <w:fldChar w:fldCharType="end"/>
            </w:r>
          </w:hyperlink>
        </w:p>
        <w:p w14:paraId="26B8A355" w14:textId="59B65AEA" w:rsidR="007C6931" w:rsidRDefault="00654E10">
          <w:pPr>
            <w:pStyle w:val="Verzeichnis2"/>
            <w:rPr>
              <w:rFonts w:asciiTheme="minorHAnsi" w:eastAsiaTheme="minorEastAsia" w:hAnsiTheme="minorHAnsi"/>
              <w:noProof/>
              <w:sz w:val="22"/>
              <w:lang w:eastAsia="de-CH"/>
            </w:rPr>
          </w:pPr>
          <w:hyperlink w:anchor="_Toc161749181" w:history="1">
            <w:r w:rsidR="007C6931" w:rsidRPr="005B368F">
              <w:rPr>
                <w:rStyle w:val="Hyperlink"/>
                <w:noProof/>
              </w:rPr>
              <w:t>10.3</w:t>
            </w:r>
            <w:r w:rsidR="007C6931">
              <w:rPr>
                <w:rFonts w:asciiTheme="minorHAnsi" w:eastAsiaTheme="minorEastAsia" w:hAnsiTheme="minorHAnsi"/>
                <w:noProof/>
                <w:sz w:val="22"/>
                <w:lang w:eastAsia="de-CH"/>
              </w:rPr>
              <w:tab/>
            </w:r>
            <w:r w:rsidR="007C6931" w:rsidRPr="005B368F">
              <w:rPr>
                <w:rStyle w:val="Hyperlink"/>
                <w:noProof/>
              </w:rPr>
              <w:t>Annuncio</w:t>
            </w:r>
            <w:r w:rsidR="007C6931">
              <w:rPr>
                <w:noProof/>
                <w:webHidden/>
              </w:rPr>
              <w:tab/>
            </w:r>
            <w:r w:rsidR="007C6931">
              <w:rPr>
                <w:noProof/>
                <w:webHidden/>
              </w:rPr>
              <w:fldChar w:fldCharType="begin"/>
            </w:r>
            <w:r w:rsidR="007C6931">
              <w:rPr>
                <w:noProof/>
                <w:webHidden/>
              </w:rPr>
              <w:instrText xml:space="preserve"> PAGEREF _Toc161749181 \h </w:instrText>
            </w:r>
            <w:r w:rsidR="007C6931">
              <w:rPr>
                <w:noProof/>
                <w:webHidden/>
              </w:rPr>
            </w:r>
            <w:r w:rsidR="007C6931">
              <w:rPr>
                <w:noProof/>
                <w:webHidden/>
              </w:rPr>
              <w:fldChar w:fldCharType="separate"/>
            </w:r>
            <w:r w:rsidR="007C6931">
              <w:rPr>
                <w:noProof/>
                <w:webHidden/>
              </w:rPr>
              <w:t>42</w:t>
            </w:r>
            <w:r w:rsidR="007C6931">
              <w:rPr>
                <w:noProof/>
                <w:webHidden/>
              </w:rPr>
              <w:fldChar w:fldCharType="end"/>
            </w:r>
          </w:hyperlink>
        </w:p>
        <w:p w14:paraId="145EC973" w14:textId="438B0DCE" w:rsidR="007C6931" w:rsidRDefault="00654E10">
          <w:pPr>
            <w:pStyle w:val="Verzeichnis1"/>
            <w:tabs>
              <w:tab w:val="left" w:pos="660"/>
              <w:tab w:val="right" w:leader="dot" w:pos="9060"/>
            </w:tabs>
            <w:rPr>
              <w:rFonts w:asciiTheme="minorHAnsi" w:eastAsiaTheme="minorEastAsia" w:hAnsiTheme="minorHAnsi"/>
              <w:b w:val="0"/>
              <w:noProof/>
              <w:sz w:val="22"/>
              <w:lang w:eastAsia="de-CH"/>
            </w:rPr>
          </w:pPr>
          <w:hyperlink w:anchor="_Toc161749182" w:history="1">
            <w:r w:rsidR="007C6931" w:rsidRPr="005B368F">
              <w:rPr>
                <w:rStyle w:val="Hyperlink"/>
                <w:noProof/>
              </w:rPr>
              <w:t>11</w:t>
            </w:r>
            <w:r w:rsidR="007C6931">
              <w:rPr>
                <w:rFonts w:asciiTheme="minorHAnsi" w:eastAsiaTheme="minorEastAsia" w:hAnsiTheme="minorHAnsi"/>
                <w:b w:val="0"/>
                <w:noProof/>
                <w:sz w:val="22"/>
                <w:lang w:eastAsia="de-CH"/>
              </w:rPr>
              <w:tab/>
            </w:r>
            <w:r w:rsidR="007C6931" w:rsidRPr="005B368F">
              <w:rPr>
                <w:rStyle w:val="Hyperlink"/>
                <w:noProof/>
              </w:rPr>
              <w:t>Standards for Molecular Blood Group Typing</w:t>
            </w:r>
            <w:r w:rsidR="007C6931">
              <w:rPr>
                <w:noProof/>
                <w:webHidden/>
              </w:rPr>
              <w:tab/>
            </w:r>
            <w:r w:rsidR="007C6931">
              <w:rPr>
                <w:noProof/>
                <w:webHidden/>
              </w:rPr>
              <w:fldChar w:fldCharType="begin"/>
            </w:r>
            <w:r w:rsidR="007C6931">
              <w:rPr>
                <w:noProof/>
                <w:webHidden/>
              </w:rPr>
              <w:instrText xml:space="preserve"> PAGEREF _Toc161749182 \h </w:instrText>
            </w:r>
            <w:r w:rsidR="007C6931">
              <w:rPr>
                <w:noProof/>
                <w:webHidden/>
              </w:rPr>
            </w:r>
            <w:r w:rsidR="007C6931">
              <w:rPr>
                <w:noProof/>
                <w:webHidden/>
              </w:rPr>
              <w:fldChar w:fldCharType="separate"/>
            </w:r>
            <w:r w:rsidR="007C6931">
              <w:rPr>
                <w:noProof/>
                <w:webHidden/>
              </w:rPr>
              <w:t>43</w:t>
            </w:r>
            <w:r w:rsidR="007C6931">
              <w:rPr>
                <w:noProof/>
                <w:webHidden/>
              </w:rPr>
              <w:fldChar w:fldCharType="end"/>
            </w:r>
          </w:hyperlink>
        </w:p>
        <w:p w14:paraId="136304E4" w14:textId="1EEBB336" w:rsidR="007C6931" w:rsidRDefault="00654E10">
          <w:pPr>
            <w:pStyle w:val="Verzeichnis1"/>
            <w:tabs>
              <w:tab w:val="right" w:leader="dot" w:pos="9060"/>
            </w:tabs>
            <w:rPr>
              <w:rFonts w:asciiTheme="minorHAnsi" w:eastAsiaTheme="minorEastAsia" w:hAnsiTheme="minorHAnsi"/>
              <w:b w:val="0"/>
              <w:noProof/>
              <w:sz w:val="22"/>
              <w:lang w:eastAsia="de-CH"/>
            </w:rPr>
          </w:pPr>
          <w:hyperlink w:anchor="_Toc161749183" w:history="1">
            <w:r w:rsidR="007C6931" w:rsidRPr="005B368F">
              <w:rPr>
                <w:rStyle w:val="Hyperlink"/>
                <w:noProof/>
              </w:rPr>
              <w:t>Bibliografia</w:t>
            </w:r>
            <w:r w:rsidR="007C6931">
              <w:rPr>
                <w:noProof/>
                <w:webHidden/>
              </w:rPr>
              <w:tab/>
            </w:r>
            <w:r w:rsidR="007C6931">
              <w:rPr>
                <w:noProof/>
                <w:webHidden/>
              </w:rPr>
              <w:fldChar w:fldCharType="begin"/>
            </w:r>
            <w:r w:rsidR="007C6931">
              <w:rPr>
                <w:noProof/>
                <w:webHidden/>
              </w:rPr>
              <w:instrText xml:space="preserve"> PAGEREF _Toc161749183 \h </w:instrText>
            </w:r>
            <w:r w:rsidR="007C6931">
              <w:rPr>
                <w:noProof/>
                <w:webHidden/>
              </w:rPr>
            </w:r>
            <w:r w:rsidR="007C6931">
              <w:rPr>
                <w:noProof/>
                <w:webHidden/>
              </w:rPr>
              <w:fldChar w:fldCharType="separate"/>
            </w:r>
            <w:r w:rsidR="007C6931">
              <w:rPr>
                <w:noProof/>
                <w:webHidden/>
              </w:rPr>
              <w:t>56</w:t>
            </w:r>
            <w:r w:rsidR="007C6931">
              <w:rPr>
                <w:noProof/>
                <w:webHidden/>
              </w:rPr>
              <w:fldChar w:fldCharType="end"/>
            </w:r>
          </w:hyperlink>
        </w:p>
        <w:p w14:paraId="58BF5693" w14:textId="77B6C553" w:rsidR="007C6931" w:rsidRDefault="00654E10">
          <w:pPr>
            <w:pStyle w:val="Verzeichnis1"/>
            <w:tabs>
              <w:tab w:val="right" w:leader="dot" w:pos="9060"/>
            </w:tabs>
            <w:rPr>
              <w:rFonts w:asciiTheme="minorHAnsi" w:eastAsiaTheme="minorEastAsia" w:hAnsiTheme="minorHAnsi"/>
              <w:b w:val="0"/>
              <w:noProof/>
              <w:sz w:val="22"/>
              <w:lang w:eastAsia="de-CH"/>
            </w:rPr>
          </w:pPr>
          <w:hyperlink w:anchor="_Toc161749184" w:history="1">
            <w:r w:rsidR="007C6931" w:rsidRPr="005B368F">
              <w:rPr>
                <w:rStyle w:val="Hyperlink"/>
                <w:noProof/>
              </w:rPr>
              <w:t>Addendum 1</w:t>
            </w:r>
            <w:r w:rsidR="007C6931">
              <w:rPr>
                <w:noProof/>
                <w:webHidden/>
              </w:rPr>
              <w:tab/>
            </w:r>
            <w:r w:rsidR="007C6931">
              <w:rPr>
                <w:noProof/>
                <w:webHidden/>
              </w:rPr>
              <w:fldChar w:fldCharType="begin"/>
            </w:r>
            <w:r w:rsidR="007C6931">
              <w:rPr>
                <w:noProof/>
                <w:webHidden/>
              </w:rPr>
              <w:instrText xml:space="preserve"> PAGEREF _Toc161749184 \h </w:instrText>
            </w:r>
            <w:r w:rsidR="007C6931">
              <w:rPr>
                <w:noProof/>
                <w:webHidden/>
              </w:rPr>
            </w:r>
            <w:r w:rsidR="007C6931">
              <w:rPr>
                <w:noProof/>
                <w:webHidden/>
              </w:rPr>
              <w:fldChar w:fldCharType="separate"/>
            </w:r>
            <w:r w:rsidR="007C6931">
              <w:rPr>
                <w:noProof/>
                <w:webHidden/>
              </w:rPr>
              <w:t>59</w:t>
            </w:r>
            <w:r w:rsidR="007C6931">
              <w:rPr>
                <w:noProof/>
                <w:webHidden/>
              </w:rPr>
              <w:fldChar w:fldCharType="end"/>
            </w:r>
          </w:hyperlink>
        </w:p>
        <w:p w14:paraId="5E756AB9" w14:textId="3F6924A3" w:rsidR="00EF4BEC" w:rsidRDefault="009E2ACD">
          <w:pPr>
            <w:rPr>
              <w:rFonts w:cs="Arial"/>
            </w:rPr>
          </w:pPr>
          <w:r>
            <w:rPr>
              <w:rFonts w:cs="Arial"/>
              <w:b/>
            </w:rPr>
            <w:fldChar w:fldCharType="end"/>
          </w:r>
        </w:p>
      </w:sdtContent>
    </w:sdt>
    <w:p w14:paraId="598C28D3" w14:textId="77777777" w:rsidR="00EF4BEC" w:rsidRDefault="009E2ACD">
      <w:pPr>
        <w:pStyle w:val="berschrift1"/>
        <w:numPr>
          <w:ilvl w:val="0"/>
          <w:numId w:val="0"/>
        </w:numPr>
        <w:ind w:left="432" w:hanging="432"/>
      </w:pPr>
      <w:r>
        <w:br w:type="page"/>
      </w:r>
      <w:bookmarkStart w:id="0" w:name="_Toc161749072"/>
      <w:r>
        <w:lastRenderedPageBreak/>
        <w:t>Premessa</w:t>
      </w:r>
      <w:bookmarkEnd w:id="0"/>
    </w:p>
    <w:p w14:paraId="71071CE3" w14:textId="77777777" w:rsidR="00EF4BEC" w:rsidRDefault="009E2ACD">
      <w:pPr>
        <w:rPr>
          <w:rFonts w:cs="Arial"/>
          <w:lang w:val="it-IT"/>
        </w:rPr>
      </w:pPr>
      <w:r>
        <w:rPr>
          <w:rFonts w:cs="Arial"/>
          <w:lang w:val="it-IT"/>
        </w:rPr>
        <w:t>Questo documento è stato redatto in collaborazione con l’Associazione Svizzera di Medicina Trasfusionale (ASMT) e Trasfusione CRS Svizzera (T-CH CRS) e revisionato conformemente allo stato attuale della scienza e della tecnica.</w:t>
      </w:r>
    </w:p>
    <w:p w14:paraId="38EC226E" w14:textId="77777777" w:rsidR="00EF4BEC" w:rsidRDefault="009E2ACD">
      <w:pPr>
        <w:rPr>
          <w:rFonts w:cs="Arial"/>
          <w:lang w:val="it-IT"/>
        </w:rPr>
      </w:pPr>
      <w:r>
        <w:rPr>
          <w:rFonts w:cs="Arial"/>
          <w:lang w:val="it-IT"/>
        </w:rPr>
        <w:t>Questo documento può essere considerato come una guida per la buona prassi di laboratorio in immunoematologia e servire da ausilio nelle decisioni da prendere in situazioni cliniche specifiche. Per i casi non menzionati si dovranno consultare le referenze esistenti e/o il medico responsabile della trasfusione.</w:t>
      </w:r>
    </w:p>
    <w:p w14:paraId="55F1BA70" w14:textId="10E7F101" w:rsidR="00EF4BEC" w:rsidRDefault="009E2ACD">
      <w:pPr>
        <w:rPr>
          <w:rFonts w:cs="Arial"/>
          <w:lang w:val="it-IT"/>
        </w:rPr>
      </w:pPr>
      <w:r>
        <w:rPr>
          <w:rFonts w:cs="Arial"/>
          <w:lang w:val="it-IT"/>
        </w:rPr>
        <w:t>Da gennaio 2002 l’ordinanza sui medicamenti impone sia ai produttori che agli utilizzatori dei prodotti sanguigni labili di predisporre un sistema di garanzia della qualità che sia conforme allo stato attuale della scienza e della tecnica medica (</w:t>
      </w:r>
      <w:r w:rsidR="00665030">
        <w:rPr>
          <w:rFonts w:cs="Arial"/>
          <w:lang w:val="it-IT"/>
        </w:rPr>
        <w:t xml:space="preserve">LATer art. 34 cpv. 2 let. b, </w:t>
      </w:r>
      <w:r>
        <w:rPr>
          <w:rFonts w:cs="Arial"/>
          <w:lang w:val="it-IT"/>
        </w:rPr>
        <w:t>OM art. 65 cpv. 4).</w:t>
      </w:r>
    </w:p>
    <w:p w14:paraId="358A4AC8" w14:textId="77777777" w:rsidR="00EF4BEC" w:rsidRDefault="009E2ACD">
      <w:pPr>
        <w:rPr>
          <w:rFonts w:cs="Arial"/>
          <w:lang w:val="it-IT"/>
        </w:rPr>
      </w:pPr>
      <w:r>
        <w:rPr>
          <w:rFonts w:cs="Arial"/>
          <w:lang w:val="it-IT"/>
        </w:rPr>
        <w:t xml:space="preserve">Swissmedic ha preso parte al processo di consultazione della versione revisionata e sostiene appieno il documento. Queste raccomandazioni descrivono i metodi idonei per controllare la compatibilità dei prodotti sanguigni labili con il ricevente. Inoltre, essi definiscono i requisiti minimi in termini di preanalitica, di ordinazione e di selezione di componenti sanguigni adatti e la documentazione delle tappe di lavoro al fine di garantire la sicurezza trasfusionale. Conviene dunque applicare queste raccomandazioni nell’ambito di esami pretrasfusionali e a tutti gli eventuali processi che portano alla consegna di prodotti sanguigni labili per una trasfusione. </w:t>
      </w:r>
    </w:p>
    <w:p w14:paraId="1563AA4F" w14:textId="77777777" w:rsidR="00EF4BEC" w:rsidRDefault="009E2ACD">
      <w:pPr>
        <w:rPr>
          <w:rFonts w:cs="Arial"/>
          <w:lang w:val="it-IT"/>
        </w:rPr>
      </w:pPr>
      <w:r>
        <w:rPr>
          <w:rFonts w:cs="Arial"/>
          <w:lang w:val="it-IT"/>
        </w:rPr>
        <w:t>Altri metodi possono essere ugualmente utilizzati, a patto che dimostrino di raggiungere in modo affidabile gli stessi obiettivi di qualità e di sicurezza sulla base delle conoscenze scientifiche attuali. Queste raccomandazioni verranno considerate quali documenti di riferimento nel caso di eventuali ispezioni. Inoltre, le presenti raccomandazioni fungono da riferimento per verificare se il sistema di qualità di istituti che effettuano delle trasfusioni di prodotti sanguigni labili è adeguato.</w:t>
      </w:r>
    </w:p>
    <w:p w14:paraId="2B894F66" w14:textId="77777777" w:rsidR="00EF4BEC" w:rsidRDefault="009E2ACD">
      <w:pPr>
        <w:rPr>
          <w:rFonts w:cs="Arial"/>
          <w:lang w:val="it-IT"/>
        </w:rPr>
      </w:pPr>
      <w:r>
        <w:rPr>
          <w:rFonts w:cs="Arial"/>
          <w:lang w:val="it-IT"/>
        </w:rPr>
        <w:t>In qualità di autorità competente, vogliamo ringraziare le organizzazioni e le persone che hanno contribuito all’elaborazione di queste raccomandazioni che rappresentano un importante contributo alla sicurezza trasfusionale.</w:t>
      </w:r>
    </w:p>
    <w:p w14:paraId="4DB7C675" w14:textId="77777777" w:rsidR="00EF4BEC" w:rsidRDefault="00EF4BEC">
      <w:pPr>
        <w:rPr>
          <w:rFonts w:cs="Arial"/>
          <w:lang w:val="it-IT"/>
        </w:rPr>
      </w:pPr>
    </w:p>
    <w:p w14:paraId="1E455E82" w14:textId="77777777" w:rsidR="00EF4BEC" w:rsidRDefault="009E2ACD">
      <w:pPr>
        <w:rPr>
          <w:rFonts w:cs="Arial"/>
          <w:lang w:val="it-IT"/>
        </w:rPr>
      </w:pPr>
      <w:r>
        <w:rPr>
          <w:rFonts w:cs="Arial"/>
          <w:lang w:val="it-IT"/>
        </w:rPr>
        <w:t>SWISSMEDIC, Unità di Emovigilanza e Progetti</w:t>
      </w:r>
    </w:p>
    <w:p w14:paraId="66475932" w14:textId="77777777" w:rsidR="00EF4BEC" w:rsidRDefault="00EF4BEC">
      <w:pPr>
        <w:rPr>
          <w:rFonts w:cs="Arial"/>
          <w:lang w:val="it-IT"/>
        </w:rPr>
      </w:pPr>
    </w:p>
    <w:p w14:paraId="5A35C74D" w14:textId="77777777" w:rsidR="00EF4BEC" w:rsidRDefault="009E2ACD">
      <w:pPr>
        <w:rPr>
          <w:lang w:val="it-IT"/>
        </w:rPr>
        <w:sectPr w:rsidR="00EF4BEC">
          <w:pgSz w:w="11906" w:h="16838"/>
          <w:pgMar w:top="1418" w:right="1418" w:bottom="1134" w:left="1418" w:header="567" w:footer="0" w:gutter="0"/>
          <w:cols w:space="708"/>
          <w:docGrid w:linePitch="360"/>
        </w:sectPr>
      </w:pPr>
      <w:r>
        <w:rPr>
          <w:lang w:val="it-IT"/>
        </w:rPr>
        <w:t>Queste raccomandazioni sono state elaborate dal gruppo specializzato Immunoematologia.</w:t>
      </w:r>
    </w:p>
    <w:p w14:paraId="5C2BC3A4" w14:textId="77777777" w:rsidR="00EF4BEC" w:rsidRDefault="009E2ACD">
      <w:pPr>
        <w:pStyle w:val="berschrift1"/>
      </w:pPr>
      <w:bookmarkStart w:id="1" w:name="_Toc161749073"/>
      <w:r>
        <w:lastRenderedPageBreak/>
        <w:t>Introduzione e campo di applicazione</w:t>
      </w:r>
      <w:bookmarkEnd w:id="1"/>
    </w:p>
    <w:p w14:paraId="15FD4F49" w14:textId="455D4B78" w:rsidR="00EF4BEC" w:rsidRDefault="009E2ACD">
      <w:pPr>
        <w:rPr>
          <w:rFonts w:cs="Arial"/>
          <w:lang w:val="it-IT"/>
        </w:rPr>
      </w:pPr>
      <w:r>
        <w:rPr>
          <w:rFonts w:cs="Arial"/>
          <w:lang w:val="it-IT"/>
        </w:rPr>
        <w:t>La trasfusione di prodotti sanguigni labili è un atto terapeutico complesso che esige da parte del personale coinvolto competenze professionali specifiche in materia di esami pretrasfusionali e trasfusioni di sangue. Gli utilizzatori di tali prodotti si assumono la grande responsabilità di evitare i potenziali effetti secondari. Se gli esami pretrasfusionali non sottostanno a disposizioni legali, l’ordinanza sui medicamenti</w:t>
      </w:r>
      <w:r w:rsidR="00665030">
        <w:rPr>
          <w:rFonts w:cs="Arial"/>
          <w:lang w:val="it-IT"/>
        </w:rPr>
        <w:t xml:space="preserve"> (OM)</w:t>
      </w:r>
      <w:r>
        <w:rPr>
          <w:rFonts w:cs="Arial"/>
          <w:lang w:val="it-IT"/>
        </w:rPr>
        <w:t xml:space="preserve"> (art. 65 cpv. 4) </w:t>
      </w:r>
      <w:r w:rsidR="00665030">
        <w:rPr>
          <w:rFonts w:cs="Arial"/>
          <w:lang w:val="it-IT"/>
        </w:rPr>
        <w:fldChar w:fldCharType="begin"/>
      </w:r>
      <w:r w:rsidR="00665030">
        <w:rPr>
          <w:rFonts w:cs="Arial"/>
          <w:lang w:val="it-IT"/>
        </w:rPr>
        <w:instrText xml:space="preserve"> ADDIN ZOTERO_ITEM CSL_CITATION {"citationID":"JqrsI6J7","properties":{"formattedCitation":"[1]","plainCitation":"[1]","noteIndex":0},"citationItems":[{"id":2530,"uris":["http://zotero.org/groups/969572/items/CSQY52KL"],"uri":["http://zotero.org/groups/969572/items/CSQY52KL"],"itemData":{"id":2530,"type":"article","title":"Verordnung über die Arzneimittel (Arzneimittelverordnung, VAM SR 812.212.21)","URL":"http://www.fedlex.admin.ch"}}],"schema":"https://github.com/citation-style-language/schema/raw/master/csl-citation.json"} </w:instrText>
      </w:r>
      <w:r w:rsidR="00665030">
        <w:rPr>
          <w:rFonts w:cs="Arial"/>
          <w:lang w:val="it-IT"/>
        </w:rPr>
        <w:fldChar w:fldCharType="separate"/>
      </w:r>
      <w:r w:rsidR="00665030" w:rsidRPr="00665030">
        <w:rPr>
          <w:rFonts w:cs="Arial"/>
          <w:lang w:val="it-IT"/>
        </w:rPr>
        <w:t>[1]</w:t>
      </w:r>
      <w:r w:rsidR="00665030">
        <w:rPr>
          <w:rFonts w:cs="Arial"/>
          <w:lang w:val="it-IT"/>
        </w:rPr>
        <w:fldChar w:fldCharType="end"/>
      </w:r>
      <w:r w:rsidR="00665030">
        <w:rPr>
          <w:rFonts w:cs="Arial"/>
          <w:lang w:val="it-IT"/>
        </w:rPr>
        <w:t xml:space="preserve"> </w:t>
      </w:r>
      <w:r>
        <w:rPr>
          <w:rFonts w:cs="Arial"/>
          <w:lang w:val="it-IT"/>
        </w:rPr>
        <w:t>impone invece agli istituti che impiegano prodotti sanguigni di definire un sistema di gestione della qualità conforme allo stato attuale delle conoscenze scientifiche, e di nominare un responsabile dell’emovigilanza</w:t>
      </w:r>
      <w:r w:rsidR="00665030">
        <w:rPr>
          <w:rFonts w:cs="Arial"/>
          <w:lang w:val="it-IT"/>
        </w:rPr>
        <w:t xml:space="preserve"> (OM art. 65 risp. </w:t>
      </w:r>
      <w:r w:rsidR="00665030" w:rsidRPr="00665030">
        <w:rPr>
          <w:rFonts w:cs="Arial"/>
          <w:lang w:val="it-IT"/>
        </w:rPr>
        <w:t>Ordinanza sull’autorizzazione dei medicamenti</w:t>
      </w:r>
      <w:r w:rsidR="00665030">
        <w:rPr>
          <w:rFonts w:cs="Arial"/>
          <w:lang w:val="it-IT"/>
        </w:rPr>
        <w:t xml:space="preserve"> (OAMed) art. 28)</w:t>
      </w:r>
      <w:r>
        <w:rPr>
          <w:rFonts w:cs="Arial"/>
          <w:lang w:val="it-IT"/>
        </w:rPr>
        <w:t>. Il laboratorio deve inoltre rispettare le norme riconosciute e applicabili ai sistemi di gestione della qualità (ISO 15189 e/o 17025)</w:t>
      </w:r>
      <w:r w:rsidR="00665030">
        <w:rPr>
          <w:rFonts w:cs="Arial"/>
          <w:lang w:val="it-IT"/>
        </w:rPr>
        <w:t xml:space="preserve"> </w:t>
      </w:r>
      <w:r w:rsidR="00665030">
        <w:rPr>
          <w:rFonts w:cs="Arial"/>
          <w:lang w:val="it-IT"/>
        </w:rPr>
        <w:fldChar w:fldCharType="begin"/>
      </w:r>
      <w:r w:rsidR="00665030">
        <w:rPr>
          <w:rFonts w:cs="Arial"/>
          <w:lang w:val="it-IT"/>
        </w:rPr>
        <w:instrText xml:space="preserve"> ADDIN ZOTERO_ITEM CSL_CITATION {"citationID":"3uUXJx1Q","properties":{"formattedCitation":"[2]","plainCitation":"[2]","noteIndex":0},"citationItems":[{"id":5512,"uris":["http://zotero.org/groups/969572/items/4SXS3883"],"uri":["http://zotero.org/groups/969572/items/4SXS3883"],"itemData":{"id":5512,"type":"article","publisher":"QUALAB Swiss","title":"KBMAL Kriterien zum Betreiben von medizinischen Laboratorien","author":[{"literal":"SULM"}],"issued":{"date-parts":[["2016",10,11]]}}}],"schema":"https://github.com/citation-style-language/schema/raw/master/csl-citation.json"} </w:instrText>
      </w:r>
      <w:r w:rsidR="00665030">
        <w:rPr>
          <w:rFonts w:cs="Arial"/>
          <w:lang w:val="it-IT"/>
        </w:rPr>
        <w:fldChar w:fldCharType="separate"/>
      </w:r>
      <w:r w:rsidR="00665030" w:rsidRPr="00665030">
        <w:rPr>
          <w:rFonts w:cs="Arial"/>
          <w:lang w:val="fr-CH"/>
        </w:rPr>
        <w:t>[2]</w:t>
      </w:r>
      <w:r w:rsidR="00665030">
        <w:rPr>
          <w:rFonts w:cs="Arial"/>
          <w:lang w:val="it-IT"/>
        </w:rPr>
        <w:fldChar w:fldCharType="end"/>
      </w:r>
      <w:r>
        <w:rPr>
          <w:rFonts w:cs="Arial"/>
          <w:lang w:val="it-IT"/>
        </w:rPr>
        <w:t>.</w:t>
      </w:r>
    </w:p>
    <w:p w14:paraId="31D75BCB" w14:textId="77777777" w:rsidR="00EF4BEC" w:rsidRDefault="009E2ACD">
      <w:pPr>
        <w:rPr>
          <w:rFonts w:cs="Arial"/>
          <w:lang w:val="it-IT"/>
        </w:rPr>
      </w:pPr>
      <w:r>
        <w:rPr>
          <w:rFonts w:cs="Arial"/>
          <w:lang w:val="it-IT"/>
        </w:rPr>
        <w:t xml:space="preserve">Le seguenti raccomandazioni concernono i laboratori che eseguono le indagini immunoematologiche per gli utilizzatori di PSL. Esse definiscono l’ambito, le metodiche e le procedure di analisi, come anche l’interpretazione dei risultati. Definiscono inoltre le procedure amministrative riguardanti l’identificazione dei campioni e dei prodotti sanguigni, la registrazione e trasmissione dei risultati e i requisiti minimi in termini di qualità. </w:t>
      </w:r>
    </w:p>
    <w:p w14:paraId="2DE93E08" w14:textId="5D481861" w:rsidR="00EF4BEC" w:rsidRDefault="009E2ACD">
      <w:pPr>
        <w:rPr>
          <w:rFonts w:cs="Arial"/>
          <w:lang w:val="it-IT"/>
        </w:rPr>
      </w:pPr>
      <w:r>
        <w:rPr>
          <w:rFonts w:cs="Arial"/>
          <w:lang w:val="it-IT"/>
        </w:rPr>
        <w:t>Allo scopo di assicurare la competenza immunoematologica necessaria all’esecuzione di una trasfusione, il personale del laboratorio sotto la responsabilità della direzione consiglia il medico responsabile della trasfusione nello svolgimento dei test immunoematologici e nella scelta dei prodotti sanguigni. La direzione del laboratorio e il servizio infermieristico garantiscono che i prodotti corrispondano alle specifiche della richiesta medica</w:t>
      </w:r>
      <w:r w:rsidR="004C1E4F">
        <w:rPr>
          <w:rFonts w:cs="Arial"/>
          <w:lang w:val="it-IT"/>
        </w:rPr>
        <w:t xml:space="preserve"> </w:t>
      </w:r>
      <w:r w:rsidR="004C1E4F">
        <w:rPr>
          <w:rFonts w:cs="Arial"/>
          <w:lang w:val="it-IT"/>
        </w:rPr>
        <w:fldChar w:fldCharType="begin"/>
      </w:r>
      <w:r w:rsidR="004C1E4F">
        <w:rPr>
          <w:rFonts w:cs="Arial"/>
          <w:lang w:val="it-IT"/>
        </w:rPr>
        <w:instrText xml:space="preserve"> ADDIN ZOTERO_ITEM CSL_CITATION {"citationID":"hlPZXog5","properties":{"formattedCitation":"[3]","plainCitation":"[3]","noteIndex":0},"citationItems":[{"id":2497,"uris":["http://zotero.org/groups/969572/items/DPXDQB8Y"],"uri":["http://zotero.org/groups/969572/items/DPXDQB8Y"],"itemData":{"id":2497,"type":"article-journal","title":"Leitfaden für die Qualitätssicherung in der Transfusionspraxis","author":[{"family":"Schweizerische Arbeitsgruppe Qualitätssicherung in der Anwendung von Blutprodukten","given":""}]}}],"schema":"https://github.com/citation-style-language/schema/raw/master/csl-citation.json"} </w:instrText>
      </w:r>
      <w:r w:rsidR="004C1E4F">
        <w:rPr>
          <w:rFonts w:cs="Arial"/>
          <w:lang w:val="it-IT"/>
        </w:rPr>
        <w:fldChar w:fldCharType="separate"/>
      </w:r>
      <w:r w:rsidR="004C1E4F" w:rsidRPr="00583734">
        <w:rPr>
          <w:rFonts w:cs="Arial"/>
          <w:lang w:val="fr-CH"/>
        </w:rPr>
        <w:t>[3]</w:t>
      </w:r>
      <w:r w:rsidR="004C1E4F">
        <w:rPr>
          <w:rFonts w:cs="Arial"/>
          <w:lang w:val="it-IT"/>
        </w:rPr>
        <w:fldChar w:fldCharType="end"/>
      </w:r>
      <w:r>
        <w:rPr>
          <w:rFonts w:cs="Arial"/>
          <w:lang w:val="it-IT"/>
        </w:rPr>
        <w:t>.</w:t>
      </w:r>
    </w:p>
    <w:p w14:paraId="67FD9717" w14:textId="77777777" w:rsidR="00EF4BEC" w:rsidRDefault="009E2ACD">
      <w:pPr>
        <w:rPr>
          <w:rFonts w:cs="Arial"/>
          <w:lang w:val="it-IT"/>
        </w:rPr>
      </w:pPr>
      <w:r>
        <w:rPr>
          <w:rFonts w:cs="Arial"/>
          <w:lang w:val="it-IT"/>
        </w:rPr>
        <w:t>Il contenuto delle raccomandazioni concerne:</w:t>
      </w:r>
    </w:p>
    <w:p w14:paraId="069A3390" w14:textId="77777777" w:rsidR="00EF4BEC" w:rsidRDefault="009E2ACD">
      <w:pPr>
        <w:pStyle w:val="AufzhlungPunkt"/>
      </w:pPr>
      <w:r>
        <w:t>indagini immunoematologiche,</w:t>
      </w:r>
    </w:p>
    <w:p w14:paraId="64B8C57F" w14:textId="77777777" w:rsidR="00EF4BEC" w:rsidRDefault="009E2ACD">
      <w:pPr>
        <w:pStyle w:val="AufzhlungPunkt"/>
      </w:pPr>
      <w:r>
        <w:t>avvertenze sulla trasfusione di prodotti sanguigni,</w:t>
      </w:r>
    </w:p>
    <w:p w14:paraId="1F7D7D18" w14:textId="77777777" w:rsidR="00EF4BEC" w:rsidRDefault="009E2ACD">
      <w:pPr>
        <w:pStyle w:val="AufzhlungPunkt"/>
      </w:pPr>
      <w:r>
        <w:t>avvertenze sulla gestione della qualità,</w:t>
      </w:r>
    </w:p>
    <w:p w14:paraId="2C34C109" w14:textId="77777777" w:rsidR="00EF4BEC" w:rsidRDefault="009E2ACD">
      <w:pPr>
        <w:pStyle w:val="AufzhlungPunkt"/>
      </w:pPr>
      <w:r>
        <w:t>emovigilanza riceventi.</w:t>
      </w:r>
    </w:p>
    <w:p w14:paraId="7EDE3C66" w14:textId="39B7D103" w:rsidR="00EF4BEC" w:rsidRDefault="009E2ACD">
      <w:pPr>
        <w:rPr>
          <w:lang w:val="it-IT"/>
        </w:rPr>
      </w:pPr>
      <w:r>
        <w:rPr>
          <w:lang w:val="it-IT"/>
        </w:rPr>
        <w:t>Dal 2022 la nomenclatura dei sistemi dei gruppi sanguigni utilizzata nel presente documento sarà adeguata alla terminologia ISBT per tener conto delle sigle utilizzate a livello internazionale</w:t>
      </w:r>
      <w:r w:rsidR="004C1E4F">
        <w:rPr>
          <w:lang w:val="it-IT"/>
        </w:rPr>
        <w:t xml:space="preserve"> </w:t>
      </w:r>
      <w:r w:rsidR="004C1E4F">
        <w:rPr>
          <w:lang w:val="it-IT"/>
        </w:rPr>
        <w:fldChar w:fldCharType="begin"/>
      </w:r>
      <w:r w:rsidR="004C1E4F">
        <w:rPr>
          <w:lang w:val="it-IT"/>
        </w:rPr>
        <w:instrText xml:space="preserve"> ADDIN ZOTERO_ITEM CSL_CITATION {"citationID":"J4QI9Nng","properties":{"formattedCitation":"[4], [5]","plainCitation":"[4], [5]","noteIndex":0},"citationItems":[{"id":2495,"uris":["http://zotero.org/groups/969572/items/99QKS88W"],"uri":["http://zotero.org/groups/969572/items/99QKS88W"],"itemData":{"id":2495,"type":"article-journal","container-title":"Academic Press","title":"The Blood Group Antigen Facts Book","author":[{"literal":"Marion E. Reid, Christine Lomas-Francis and Martin L. Olsson"}],"issued":{"date-parts":[["2012"]]}}},{"id":2494,"uris":["http://zotero.org/groups/969572/items/WSDDFFRZ"],"uri":["http://zotero.org/groups/969572/items/WSDDFFRZ"],"itemData":{"id":2494,"type":"article-journal","title":"International Society of Blood Transfusion (ISBT)","URL":"https://www.isbtweb.org/"}}],"schema":"https://github.com/citation-style-language/schema/raw/master/csl-citation.json"} </w:instrText>
      </w:r>
      <w:r w:rsidR="004C1E4F">
        <w:rPr>
          <w:lang w:val="it-IT"/>
        </w:rPr>
        <w:fldChar w:fldCharType="separate"/>
      </w:r>
      <w:r w:rsidR="004C1E4F" w:rsidRPr="004C1E4F">
        <w:rPr>
          <w:rFonts w:cs="Arial"/>
          <w:lang w:val="it-IT"/>
        </w:rPr>
        <w:t>[4], [5]</w:t>
      </w:r>
      <w:r w:rsidR="004C1E4F">
        <w:rPr>
          <w:lang w:val="it-IT"/>
        </w:rPr>
        <w:fldChar w:fldCharType="end"/>
      </w:r>
      <w:r>
        <w:rPr>
          <w:lang w:val="it-IT"/>
        </w:rPr>
        <w:t>. Per facilitare la lettura e l’applicazione della nuova nomenclatura è stata elaborata una tabella, seppure non esaustiva, che confronta la terminologia tradizionale con quella dell’ISBT (addendum 1). Fa eccezione il sistema dei gruppi sanguigni ABO.</w:t>
      </w:r>
    </w:p>
    <w:p w14:paraId="2EC015DC" w14:textId="77777777" w:rsidR="00EF4BEC" w:rsidRDefault="009E2ACD">
      <w:pPr>
        <w:rPr>
          <w:rFonts w:cs="Arial"/>
          <w:lang w:val="it-IT"/>
        </w:rPr>
      </w:pPr>
      <w:r>
        <w:rPr>
          <w:rFonts w:cs="Arial"/>
          <w:lang w:val="it-IT"/>
        </w:rPr>
        <w:t xml:space="preserve">Per motivi di leggibilità il presente documento utilizza la forma maschile. </w:t>
      </w:r>
    </w:p>
    <w:p w14:paraId="1A1355B1" w14:textId="52D6ECB0" w:rsidR="00EF4BEC" w:rsidRDefault="009E2ACD" w:rsidP="00B83906">
      <w:pPr>
        <w:pStyle w:val="berschrift2"/>
      </w:pPr>
      <w:bookmarkStart w:id="2" w:name="_Toc161749074"/>
      <w:r>
        <w:t xml:space="preserve">Esigenze trasfusionali generali </w:t>
      </w:r>
      <w:r w:rsidR="004C1E4F">
        <w:fldChar w:fldCharType="begin"/>
      </w:r>
      <w:r w:rsidR="004C1E4F">
        <w:instrText xml:space="preserve"> ADDIN ZOTERO_ITEM CSL_CITATION {"citationID":"6uQSLYgn","properties":{"formattedCitation":"[2]","plainCitation":"[2]","noteIndex":0},"citationItems":[{"id":5512,"uris":["http://zotero.org/groups/969572/items/4SXS3883"],"uri":["http://zotero.org/groups/969572/items/4SXS3883"],"itemData":{"id":5512,"type":"article","publisher":"QUALAB Swiss","title":"KBMAL Kriterien zum Betreiben von medizinischen Laboratorien","author":[{"literal":"SULM"}],"issued":{"date-parts":[["2016",10,11]]}}}],"schema":"https://github.com/citation-style-language/schema/raw/master/csl-citation.json"} </w:instrText>
      </w:r>
      <w:r w:rsidR="004C1E4F">
        <w:fldChar w:fldCharType="separate"/>
      </w:r>
      <w:r w:rsidR="004C1E4F" w:rsidRPr="004C1E4F">
        <w:rPr>
          <w:rFonts w:cs="Arial"/>
        </w:rPr>
        <w:t>[2]</w:t>
      </w:r>
      <w:bookmarkEnd w:id="2"/>
      <w:r w:rsidR="004C1E4F">
        <w:fldChar w:fldCharType="end"/>
      </w:r>
    </w:p>
    <w:p w14:paraId="72CB26B0" w14:textId="77777777" w:rsidR="00EF4BEC" w:rsidRDefault="009E2ACD">
      <w:pPr>
        <w:rPr>
          <w:rFonts w:cs="Arial"/>
          <w:lang w:val="it-IT"/>
        </w:rPr>
      </w:pPr>
      <w:r>
        <w:rPr>
          <w:rFonts w:cs="Arial"/>
          <w:lang w:val="it-IT"/>
        </w:rPr>
        <w:t>I PSL in uso devono essere utilizzati conformemente alle attuali conoscenze scientifiche. Gli aspetti seguenti sono particolarmente importanti:</w:t>
      </w:r>
    </w:p>
    <w:p w14:paraId="76982166" w14:textId="77777777" w:rsidR="00EF4BEC" w:rsidRDefault="009E2ACD">
      <w:pPr>
        <w:pStyle w:val="AufzhlungPunkt"/>
      </w:pPr>
      <w:r>
        <w:t>pre- e postanalitica,</w:t>
      </w:r>
    </w:p>
    <w:p w14:paraId="454642CF" w14:textId="77777777" w:rsidR="00EF4BEC" w:rsidRDefault="009E2ACD">
      <w:pPr>
        <w:pStyle w:val="AufzhlungPunkt"/>
      </w:pPr>
      <w:r>
        <w:t>indagini pretrasfusionali immunoematologiche,</w:t>
      </w:r>
    </w:p>
    <w:p w14:paraId="337DE9AC" w14:textId="77777777" w:rsidR="00EF4BEC" w:rsidRDefault="009E2ACD">
      <w:pPr>
        <w:pStyle w:val="AufzhlungPunkt"/>
      </w:pPr>
      <w:r>
        <w:t>distribuzione di prodotti sanguigni labili,</w:t>
      </w:r>
    </w:p>
    <w:p w14:paraId="007A4999" w14:textId="77777777" w:rsidR="00EF4BEC" w:rsidRDefault="009E2ACD">
      <w:pPr>
        <w:pStyle w:val="AufzhlungPunkt"/>
      </w:pPr>
      <w:r>
        <w:t>completa tracciabilità dei campioni, delle analisi e dei prodotti sanguigni labili (consegnati e rinviati, link prodotto/ricevente),</w:t>
      </w:r>
    </w:p>
    <w:p w14:paraId="6E662B73" w14:textId="77777777" w:rsidR="00EF4BEC" w:rsidRDefault="009E2ACD">
      <w:pPr>
        <w:pStyle w:val="AufzhlungPunkt"/>
      </w:pPr>
      <w:r>
        <w:t xml:space="preserve">si raccomanda di inserire le informazioni importanti (raccomandazioni trasfusionali, eventi legati alla trasfusione e prodotti trasfusi) nella cartella clinica digitale del paziente sotto la responsabilità del medico prescrivente. </w:t>
      </w:r>
    </w:p>
    <w:p w14:paraId="5A9D10B5" w14:textId="77777777" w:rsidR="00AC1274" w:rsidRPr="007976FF" w:rsidRDefault="009E2ACD" w:rsidP="00AC1274">
      <w:pPr>
        <w:rPr>
          <w:rFonts w:cs="Arial"/>
          <w:lang w:val="it-IT"/>
        </w:rPr>
      </w:pPr>
      <w:r>
        <w:rPr>
          <w:rFonts w:cs="Arial"/>
          <w:lang w:val="it-IT"/>
        </w:rPr>
        <w:t xml:space="preserve">I diversi aspetti del processo di trasfusione devono essere disciplinati in disposizioni interne all’istituto (ospedale / clinica / studio medico o laboratorio di analisi). Le indicazioni e le norme di applicazione dei singoli prodotti sanguigni sottostanno alla responsabilità del medico che effettua la trasfusione. </w:t>
      </w:r>
    </w:p>
    <w:p w14:paraId="41FD4016" w14:textId="3BC49C62" w:rsidR="00AC1274" w:rsidRPr="007976FF" w:rsidRDefault="00AC1274" w:rsidP="00AC1274">
      <w:pPr>
        <w:rPr>
          <w:rFonts w:cs="Arial"/>
          <w:lang w:val="it-IT"/>
        </w:rPr>
      </w:pPr>
      <w:r w:rsidRPr="007976FF">
        <w:rPr>
          <w:rFonts w:cs="Arial"/>
          <w:lang w:val="it-IT"/>
        </w:rPr>
        <w:t xml:space="preserve">Ogni organizzazione che trasfonde prodotti ematici labili è tenuta a istituire un sistema di garanzia della qualità in linea con lo stato attuale della scienza e della tecnologia medica (cfr. § 1) </w:t>
      </w:r>
      <w:r w:rsidR="004C1E4F">
        <w:rPr>
          <w:rFonts w:cs="Arial"/>
          <w:lang w:val="it-IT"/>
        </w:rPr>
        <w:fldChar w:fldCharType="begin"/>
      </w:r>
      <w:r w:rsidR="004C1E4F">
        <w:rPr>
          <w:rFonts w:cs="Arial"/>
          <w:lang w:val="it-IT"/>
        </w:rPr>
        <w:instrText xml:space="preserve"> ADDIN ZOTERO_ITEM CSL_CITATION {"citationID":"hdsolHEv","properties":{"formattedCitation":"[6], [7], [8]","plainCitation":"[6], [7], [8]","noteIndex":0},"citationItems":[{"id":2496,"uris":["http://zotero.org/groups/969572/items/EU8NSWAJ"],"uri":["http://zotero.org/groups/969572/items/EU8NSWAJ"],"itemData":{"id":2496,"type":"article-journal","title":"Leitlinien Inspektionen von Blutlagern","author":[{"literal":"Swissmedic"}],"issued":{"date-parts":[["2020",1,17]]}}},{"id":278,"uris":["http://zotero.org/groups/969572/items/TVPD458J"],"uri":["http://zotero.org/groups/969572/items/TVPD458J"],"itemData":{"id":278,"type":"legislation","chapter-number":"14.11.2018","language":"de","number":"812.212.1","page":"40","title":"Verordnung über die Bewilligungen im Arzneimittelbereich","title-short":"AMBV","author":[{"family":"Der Schweizerische Bundesrat","given":""}],"accessed":{"date-parts":[["2019",1,8]]},"issued":{"date-parts":[["2019",1,1]]}}},{"id":2527,"uris":["http://zotero.org/groups/969572/items/YX76ZZE5"],"uri":["http://zotero.org/groups/969572/items/YX76ZZE5"],"itemData":{"id":2527,"type":"article","title":"Bundesgesetz über Arzneimittel und Medizinprodukte (Heilmittelgesetz, HMG SR 812.21)","URL":"http://www.fedlex.admin.ch"}}],"schema":"https://github.com/citation-style-language/schema/raw/master/csl-citation.json"} </w:instrText>
      </w:r>
      <w:r w:rsidR="004C1E4F">
        <w:rPr>
          <w:rFonts w:cs="Arial"/>
          <w:lang w:val="it-IT"/>
        </w:rPr>
        <w:fldChar w:fldCharType="separate"/>
      </w:r>
      <w:r w:rsidR="004C1E4F" w:rsidRPr="004C1E4F">
        <w:rPr>
          <w:rFonts w:cs="Arial"/>
        </w:rPr>
        <w:t>[6], [7], [8]</w:t>
      </w:r>
      <w:r w:rsidR="004C1E4F">
        <w:rPr>
          <w:rFonts w:cs="Arial"/>
          <w:lang w:val="it-IT"/>
        </w:rPr>
        <w:fldChar w:fldCharType="end"/>
      </w:r>
    </w:p>
    <w:p w14:paraId="609DD5CF" w14:textId="11F726CA" w:rsidR="00EF4BEC" w:rsidRDefault="009E2ACD">
      <w:pPr>
        <w:rPr>
          <w:rFonts w:cs="Arial"/>
          <w:lang w:val="it-IT"/>
        </w:rPr>
      </w:pPr>
      <w:r>
        <w:rPr>
          <w:rFonts w:cs="Arial"/>
          <w:lang w:val="it-IT"/>
        </w:rPr>
        <w:br w:type="page"/>
      </w:r>
    </w:p>
    <w:p w14:paraId="22205552" w14:textId="4AFA47D5" w:rsidR="00EF4BEC" w:rsidRDefault="009E2ACD">
      <w:pPr>
        <w:pStyle w:val="berschrift1"/>
      </w:pPr>
      <w:bookmarkStart w:id="3" w:name="_Toc161749075"/>
      <w:r>
        <w:lastRenderedPageBreak/>
        <w:t xml:space="preserve">Sistema di gestione della qualità e documentazione </w:t>
      </w:r>
      <w:r w:rsidR="004C1E4F">
        <w:fldChar w:fldCharType="begin"/>
      </w:r>
      <w:r w:rsidR="004C1E4F">
        <w:instrText xml:space="preserve"> ADDIN ZOTERO_ITEM CSL_CITATION {"citationID":"gpeOpygW","properties":{"formattedCitation":"[8]","plainCitation":"[8]","noteIndex":0},"citationItems":[{"id":2527,"uris":["http://zotero.org/groups/969572/items/YX76ZZE5"],"uri":["http://zotero.org/groups/969572/items/YX76ZZE5"],"itemData":{"id":2527,"type":"article","title":"Bundesgesetz über Arzneimittel und Medizinprodukte (Heilmittelgesetz, HMG SR 812.21)","URL":"http://www.fedlex.admin.ch"}}],"schema":"https://github.com/citation-style-language/schema/raw/master/csl-citation.json"} </w:instrText>
      </w:r>
      <w:r w:rsidR="004C1E4F">
        <w:fldChar w:fldCharType="separate"/>
      </w:r>
      <w:r w:rsidR="004C1E4F" w:rsidRPr="004C1E4F">
        <w:rPr>
          <w:rFonts w:cs="Arial"/>
        </w:rPr>
        <w:t>[8]</w:t>
      </w:r>
      <w:bookmarkEnd w:id="3"/>
      <w:r w:rsidR="004C1E4F">
        <w:fldChar w:fldCharType="end"/>
      </w:r>
    </w:p>
    <w:p w14:paraId="4D75EC93" w14:textId="77777777" w:rsidR="00EF4BEC" w:rsidRDefault="009E2ACD" w:rsidP="00B83906">
      <w:pPr>
        <w:pStyle w:val="berschrift2"/>
      </w:pPr>
      <w:bookmarkStart w:id="4" w:name="_Toc161749076"/>
      <w:r>
        <w:t>Requisiti di qualità generali</w:t>
      </w:r>
      <w:bookmarkEnd w:id="4"/>
      <w:r>
        <w:t xml:space="preserve"> </w:t>
      </w:r>
    </w:p>
    <w:p w14:paraId="4001AFAD" w14:textId="77777777" w:rsidR="00EF4BEC" w:rsidRDefault="009E2ACD">
      <w:pPr>
        <w:rPr>
          <w:rFonts w:cs="Arial"/>
          <w:lang w:val="it-IT"/>
        </w:rPr>
      </w:pPr>
      <w:r>
        <w:rPr>
          <w:rFonts w:cs="Arial"/>
          <w:lang w:val="it-IT"/>
        </w:rPr>
        <w:t>Le analisi, i controlli di qualità e la documentazione di laboratorio devono essere conformi alle esigenze fissate dal SGQ.</w:t>
      </w:r>
    </w:p>
    <w:p w14:paraId="1BBD4562" w14:textId="77777777" w:rsidR="00EF4BEC" w:rsidRDefault="009E2ACD">
      <w:pPr>
        <w:pStyle w:val="AufzhlungPunkt"/>
      </w:pPr>
      <w:r>
        <w:t>La direzione del laboratorio è responsabile:</w:t>
      </w:r>
    </w:p>
    <w:p w14:paraId="471B89A8" w14:textId="77777777" w:rsidR="00EF4BEC" w:rsidRDefault="009E2ACD">
      <w:pPr>
        <w:pStyle w:val="AufzhlungStrich"/>
      </w:pPr>
      <w:r>
        <w:t>dell’applicazione e del rispetto delle procedure di lavoro dettagliate relative alle analisi eseguite. Tali procedure devono essere accessibili a tutti i collaboratori,</w:t>
      </w:r>
    </w:p>
    <w:p w14:paraId="067CCFB2" w14:textId="77777777" w:rsidR="00EF4BEC" w:rsidRDefault="009E2ACD">
      <w:pPr>
        <w:pStyle w:val="AufzhlungStrich"/>
      </w:pPr>
      <w:r>
        <w:t>della formazione/abilitazione di tutto il personale,</w:t>
      </w:r>
    </w:p>
    <w:p w14:paraId="7D389516" w14:textId="77777777" w:rsidR="00EF4BEC" w:rsidRDefault="009E2ACD">
      <w:pPr>
        <w:pStyle w:val="AufzhlungStrich"/>
      </w:pPr>
      <w:r>
        <w:t>della qualifica e della manutenzione dei dispositivi,</w:t>
      </w:r>
    </w:p>
    <w:p w14:paraId="7EBC5A62" w14:textId="77777777" w:rsidR="00EF4BEC" w:rsidRDefault="009E2ACD">
      <w:pPr>
        <w:pStyle w:val="AufzhlungStrich"/>
      </w:pPr>
      <w:r>
        <w:t>della qualifica del materiale d’uso,</w:t>
      </w:r>
    </w:p>
    <w:p w14:paraId="1AE4694D" w14:textId="77777777" w:rsidR="00EF4BEC" w:rsidRDefault="009E2ACD">
      <w:pPr>
        <w:pStyle w:val="AufzhlungStrich"/>
      </w:pPr>
      <w:r>
        <w:t>del rispetto delle disposizioni riguardanti i locali,</w:t>
      </w:r>
    </w:p>
    <w:p w14:paraId="47A860A6" w14:textId="77777777" w:rsidR="00EF4BEC" w:rsidRDefault="009E2ACD">
      <w:pPr>
        <w:pStyle w:val="AufzhlungStrich"/>
      </w:pPr>
      <w:r>
        <w:t>della documentazione e della gestione dei cambiamenti.</w:t>
      </w:r>
    </w:p>
    <w:p w14:paraId="2190AA8E" w14:textId="77777777" w:rsidR="00EF4BEC" w:rsidRDefault="009E2ACD">
      <w:pPr>
        <w:pStyle w:val="AufzhlungPunkt"/>
      </w:pPr>
      <w:r>
        <w:t>La documentazione di laboratorio deve comprendere:</w:t>
      </w:r>
    </w:p>
    <w:p w14:paraId="45EBD2CA" w14:textId="77777777" w:rsidR="00EF4BEC" w:rsidRDefault="009E2ACD">
      <w:pPr>
        <w:pStyle w:val="AufzhlungStrich"/>
      </w:pPr>
      <w:r>
        <w:t>i risultati e l’interpretazione delle analisi pretrasfusionali,</w:t>
      </w:r>
    </w:p>
    <w:p w14:paraId="03027AFC" w14:textId="77777777" w:rsidR="00EF4BEC" w:rsidRDefault="009E2ACD">
      <w:pPr>
        <w:pStyle w:val="AufzhlungStrich"/>
      </w:pPr>
      <w:r>
        <w:t>la data e la firma/sigla del collaboratore (in alternativa quella informatica) che ha effettuato l’analisi,</w:t>
      </w:r>
    </w:p>
    <w:p w14:paraId="1134C2BB" w14:textId="77777777" w:rsidR="00EF4BEC" w:rsidRDefault="009E2ACD">
      <w:pPr>
        <w:pStyle w:val="AufzhlungStrich"/>
      </w:pPr>
      <w:r>
        <w:t>la lista dei PSL distribuiti al paziente (specificare il type e il numero del prelievo).</w:t>
      </w:r>
    </w:p>
    <w:p w14:paraId="301F47B8" w14:textId="77777777" w:rsidR="00EF4BEC" w:rsidRDefault="009E2ACD" w:rsidP="00B83906">
      <w:pPr>
        <w:pStyle w:val="berschrift2"/>
      </w:pPr>
      <w:bookmarkStart w:id="5" w:name="_Toc161749077"/>
      <w:r>
        <w:t>Requisiti per la liberazione elettronica di CE</w:t>
      </w:r>
      <w:bookmarkEnd w:id="5"/>
    </w:p>
    <w:p w14:paraId="3B0F28C6" w14:textId="77777777" w:rsidR="00EF4BEC" w:rsidRDefault="009E2ACD">
      <w:pPr>
        <w:rPr>
          <w:lang w:val="it-IT"/>
        </w:rPr>
      </w:pPr>
      <w:r>
        <w:rPr>
          <w:rFonts w:cs="Arial"/>
          <w:lang w:val="it-IT"/>
        </w:rPr>
        <w:t>In caso di liberazione elettronica devono essere soddisfatte le seguenti condizioni:</w:t>
      </w:r>
    </w:p>
    <w:p w14:paraId="4F9BFFFB" w14:textId="77777777" w:rsidR="00EF4BEC" w:rsidRDefault="009E2ACD">
      <w:pPr>
        <w:pStyle w:val="AufzhlungPunkt"/>
      </w:pPr>
      <w:r>
        <w:t>il sistema deve soddisfare le norme riconosciute ed essere qualificato come tale,</w:t>
      </w:r>
    </w:p>
    <w:p w14:paraId="2EB82809" w14:textId="77777777" w:rsidR="00EF4BEC" w:rsidRDefault="009E2ACD">
      <w:pPr>
        <w:pStyle w:val="AufzhlungPunkt"/>
      </w:pPr>
      <w:r>
        <w:t>in caso di guasto deve essere disponibile un sistema manuale di sostituzione,</w:t>
      </w:r>
    </w:p>
    <w:p w14:paraId="69E4B1AA" w14:textId="77777777" w:rsidR="00EF4BEC" w:rsidRDefault="009E2ACD">
      <w:pPr>
        <w:pStyle w:val="AufzhlungPunkt"/>
      </w:pPr>
      <w:r>
        <w:t>la procedura deve essere stabilita per iscritto (p. es. documentata in SOP).</w:t>
      </w:r>
    </w:p>
    <w:p w14:paraId="0580C325" w14:textId="77777777" w:rsidR="00EF4BEC" w:rsidRDefault="009E2ACD">
      <w:pPr>
        <w:rPr>
          <w:rFonts w:cs="Arial"/>
          <w:lang w:val="it-IT"/>
        </w:rPr>
      </w:pPr>
      <w:r>
        <w:rPr>
          <w:rFonts w:cs="Arial"/>
          <w:lang w:val="it-IT"/>
        </w:rPr>
        <w:t>Se esistono discrepanze nel gruppo sanguigno e/o nella determinazione degli anticorpi non è ammesso procedere alla liberazione elettronica finché non sono risolte.</w:t>
      </w:r>
    </w:p>
    <w:p w14:paraId="37CB03A3" w14:textId="77777777" w:rsidR="00EF4BEC" w:rsidRDefault="009E2ACD" w:rsidP="00B83906">
      <w:pPr>
        <w:pStyle w:val="berschrift2"/>
      </w:pPr>
      <w:bookmarkStart w:id="6" w:name="_Toc161749078"/>
      <w:r>
        <w:t xml:space="preserve">Obbligo di </w:t>
      </w:r>
      <w:r w:rsidRPr="00B83906">
        <w:t>registrazione</w:t>
      </w:r>
      <w:r>
        <w:t xml:space="preserve"> e conservazione</w:t>
      </w:r>
      <w:bookmarkEnd w:id="6"/>
      <w:r>
        <w:t xml:space="preserve"> </w:t>
      </w:r>
    </w:p>
    <w:p w14:paraId="0257499A" w14:textId="6F7DC86B" w:rsidR="00EF4BEC" w:rsidRDefault="009E2ACD">
      <w:pPr>
        <w:rPr>
          <w:rFonts w:cs="Arial"/>
          <w:lang w:val="it-IT"/>
        </w:rPr>
      </w:pPr>
      <w:r>
        <w:rPr>
          <w:rFonts w:cs="Arial"/>
          <w:lang w:val="it-IT"/>
        </w:rPr>
        <w:t>A norma degli art. 39 e 40 della legge sugli agenti terapeutici (LATer), dal 20</w:t>
      </w:r>
      <w:r w:rsidR="00654E10">
        <w:rPr>
          <w:rFonts w:cs="Arial"/>
          <w:lang w:val="it-IT"/>
        </w:rPr>
        <w:t>19</w:t>
      </w:r>
      <w:r>
        <w:rPr>
          <w:rFonts w:cs="Arial"/>
          <w:lang w:val="it-IT"/>
        </w:rPr>
        <w:t xml:space="preserve"> le registrazioni e tutti i documenti rilevanti devon</w:t>
      </w:r>
      <w:r w:rsidR="004C1E4F">
        <w:rPr>
          <w:rFonts w:cs="Arial"/>
          <w:lang w:val="it-IT"/>
        </w:rPr>
        <w:t xml:space="preserve">o essere conservati per 30 anni </w:t>
      </w:r>
      <w:r w:rsidR="004C1E4F">
        <w:rPr>
          <w:rFonts w:cs="Arial"/>
          <w:lang w:val="it-IT"/>
        </w:rPr>
        <w:fldChar w:fldCharType="begin"/>
      </w:r>
      <w:r w:rsidR="004C1E4F">
        <w:rPr>
          <w:rFonts w:cs="Arial"/>
          <w:lang w:val="it-IT"/>
        </w:rPr>
        <w:instrText xml:space="preserve"> ADDIN ZOTERO_ITEM CSL_CITATION {"citationID":"gs0M2GpD","properties":{"formattedCitation":"[8]","plainCitation":"[8]","noteIndex":0},"citationItems":[{"id":2527,"uris":["http://zotero.org/groups/969572/items/YX76ZZE5"],"uri":["http://zotero.org/groups/969572/items/YX76ZZE5"],"itemData":{"id":2527,"type":"article","title":"Bundesgesetz über Arzneimittel und Medizinprodukte (Heilmittelgesetz, HMG SR 812.21)","URL":"http://www.fedlex.admin.ch"}}],"schema":"https://github.com/citation-style-language/schema/raw/master/csl-citation.json"} </w:instrText>
      </w:r>
      <w:r w:rsidR="004C1E4F">
        <w:rPr>
          <w:rFonts w:cs="Arial"/>
          <w:lang w:val="it-IT"/>
        </w:rPr>
        <w:fldChar w:fldCharType="separate"/>
      </w:r>
      <w:r w:rsidR="004C1E4F" w:rsidRPr="004C1E4F">
        <w:rPr>
          <w:rFonts w:cs="Arial"/>
          <w:lang w:val="fr-CH"/>
        </w:rPr>
        <w:t>[8]</w:t>
      </w:r>
      <w:r w:rsidR="004C1E4F">
        <w:rPr>
          <w:rFonts w:cs="Arial"/>
          <w:lang w:val="it-IT"/>
        </w:rPr>
        <w:fldChar w:fldCharType="end"/>
      </w:r>
    </w:p>
    <w:p w14:paraId="69AF5410" w14:textId="7486614A" w:rsidR="00EF4BEC" w:rsidRDefault="009E2ACD">
      <w:pPr>
        <w:rPr>
          <w:rFonts w:cs="Arial"/>
          <w:lang w:val="it-IT"/>
        </w:rPr>
      </w:pPr>
      <w:r>
        <w:rPr>
          <w:rFonts w:cs="Arial"/>
          <w:lang w:val="it-IT"/>
        </w:rPr>
        <w:t>Secondo le linee guida di Swissmed del 17.01.2020 relative alle ispezioni di banche di sangue (</w:t>
      </w:r>
      <w:r>
        <w:rPr>
          <w:rFonts w:ascii="Calibri" w:hAnsi="Calibri" w:cs="Calibri"/>
          <w:lang w:val="it-IT"/>
        </w:rPr>
        <w:t>«</w:t>
      </w:r>
      <w:r>
        <w:rPr>
          <w:rFonts w:cs="Arial"/>
          <w:lang w:val="it-IT"/>
        </w:rPr>
        <w:t>Inspections des banques de sang</w:t>
      </w:r>
      <w:r>
        <w:rPr>
          <w:rFonts w:ascii="Calibri" w:hAnsi="Calibri" w:cs="Calibri"/>
          <w:lang w:val="it-IT"/>
        </w:rPr>
        <w:t>»</w:t>
      </w:r>
      <w:r>
        <w:rPr>
          <w:rFonts w:cs="Arial"/>
          <w:lang w:val="it-IT"/>
        </w:rPr>
        <w:t xml:space="preserve">, § 5.4.6 «Documenti») devono essere rispettati i seguenti requisiti </w:t>
      </w:r>
      <w:r w:rsidR="004C1E4F" w:rsidRPr="004C1E4F">
        <w:rPr>
          <w:rFonts w:cs="Arial"/>
          <w:lang w:val="it-IT"/>
        </w:rPr>
        <w:fldChar w:fldCharType="begin"/>
      </w:r>
      <w:r w:rsidR="004C1E4F" w:rsidRPr="004C1E4F">
        <w:rPr>
          <w:rFonts w:cs="Arial"/>
          <w:lang w:val="it-IT"/>
        </w:rPr>
        <w:instrText xml:space="preserve"> ADDIN ZOTERO_ITEM CSL_CITATION {"citationID":"cOF3Nu53","properties":{"formattedCitation":"[6]","plainCitation":"[6]","noteIndex":0},"citationItems":[{"id":2496,"uris":["http://zotero.org/groups/969572/items/EU8NSWAJ"],"uri":["http://zotero.org/groups/969572/items/EU8NSWAJ"],"itemData":{"id":2496,"type":"article-journal","title":"Leitlinien Inspektionen von Blutlagern","author":[{"literal":"Swissmedic"}],"issued":{"date-parts":[["2020",1,17]]}}}],"schema":"https://github.com/citation-style-language/schema/raw/master/csl-citation.json"} </w:instrText>
      </w:r>
      <w:r w:rsidR="004C1E4F" w:rsidRPr="004C1E4F">
        <w:rPr>
          <w:rFonts w:cs="Arial"/>
          <w:lang w:val="it-IT"/>
        </w:rPr>
        <w:fldChar w:fldCharType="separate"/>
      </w:r>
      <w:r w:rsidR="004C1E4F" w:rsidRPr="004C1E4F">
        <w:rPr>
          <w:rFonts w:cs="Arial"/>
          <w:lang w:val="fr-CH"/>
        </w:rPr>
        <w:t>[6]</w:t>
      </w:r>
      <w:r w:rsidR="004C1E4F" w:rsidRPr="004C1E4F">
        <w:rPr>
          <w:rFonts w:cs="Arial"/>
          <w:lang w:val="it-IT"/>
        </w:rPr>
        <w:fldChar w:fldCharType="end"/>
      </w:r>
      <w:r>
        <w:rPr>
          <w:rFonts w:cs="Arial"/>
          <w:lang w:val="it-IT"/>
        </w:rPr>
        <w:t>:</w:t>
      </w:r>
    </w:p>
    <w:p w14:paraId="0638CFB9" w14:textId="77777777" w:rsidR="00EF4BEC" w:rsidRDefault="009E2ACD">
      <w:pPr>
        <w:pStyle w:val="AufzhlungPunkt"/>
        <w:ind w:left="714" w:hanging="357"/>
      </w:pPr>
      <w:r>
        <w:t>garantire la tracciabilità dal donatore (attraverso il numero donatore) al paziente e viceversa per 30 anni (preferibilmente tramite il centro di distribuzione e non solo nel dossier del cliente; ciò implica informare il centro di distribuzione dell’avvenuta trasfusione),</w:t>
      </w:r>
    </w:p>
    <w:p w14:paraId="4C859185" w14:textId="77777777" w:rsidR="00EF4BEC" w:rsidRDefault="009E2ACD">
      <w:pPr>
        <w:pStyle w:val="AufzhlungPunkt"/>
      </w:pPr>
      <w:r>
        <w:t>documenti normativi (istruzioni di lavoro, SOP) per tutte le procedure,</w:t>
      </w:r>
    </w:p>
    <w:p w14:paraId="3B2C86B0" w14:textId="77777777" w:rsidR="00EF4BEC" w:rsidRDefault="009E2ACD">
      <w:pPr>
        <w:pStyle w:val="AufzhlungPunkt"/>
      </w:pPr>
      <w:r>
        <w:t>risultati e interpretazione delle verifiche della compatibilità,</w:t>
      </w:r>
    </w:p>
    <w:p w14:paraId="3637F2F1" w14:textId="77777777" w:rsidR="00EF4BEC" w:rsidRDefault="009E2ACD">
      <w:pPr>
        <w:pStyle w:val="AufzhlungPunkt"/>
      </w:pPr>
      <w:r>
        <w:t>tracciabilità dei materiali utilizzati (incl. numero di lotto) e procedure di test,</w:t>
      </w:r>
    </w:p>
    <w:p w14:paraId="1B6FDBB3" w14:textId="77777777" w:rsidR="00EF4BEC" w:rsidRDefault="009E2ACD">
      <w:pPr>
        <w:pStyle w:val="AufzhlungPunkt"/>
      </w:pPr>
      <w:r>
        <w:t>richiami avvenuti e analisi a posteriori (look back),</w:t>
      </w:r>
    </w:p>
    <w:p w14:paraId="2D4C14D5" w14:textId="77777777" w:rsidR="00EF4BEC" w:rsidRDefault="009E2ACD">
      <w:pPr>
        <w:pStyle w:val="AufzhlungPunkt"/>
        <w:sectPr w:rsidR="00EF4BEC">
          <w:pgSz w:w="11906" w:h="16838"/>
          <w:pgMar w:top="1418" w:right="1418" w:bottom="1134" w:left="1418" w:header="567" w:footer="0" w:gutter="0"/>
          <w:cols w:space="708"/>
          <w:docGrid w:linePitch="360"/>
        </w:sectPr>
      </w:pPr>
      <w:r>
        <w:t>impiego di sistemi EDP (sistemi di laboratorio, sistemi per pazienti.</w:t>
      </w:r>
    </w:p>
    <w:p w14:paraId="5AC7E8B3" w14:textId="77777777" w:rsidR="00EF4BEC" w:rsidRDefault="009E2ACD">
      <w:pPr>
        <w:pStyle w:val="berschrift1"/>
      </w:pPr>
      <w:bookmarkStart w:id="7" w:name="_Toc161749079"/>
      <w:r>
        <w:lastRenderedPageBreak/>
        <w:t>Reattivi, apparecchiature e controlli di qualità</w:t>
      </w:r>
      <w:bookmarkEnd w:id="7"/>
    </w:p>
    <w:p w14:paraId="4236F325" w14:textId="77777777" w:rsidR="00EF4BEC" w:rsidRDefault="009E2ACD" w:rsidP="00B83906">
      <w:pPr>
        <w:pStyle w:val="berschrift2"/>
      </w:pPr>
      <w:bookmarkStart w:id="8" w:name="_Toc161749080"/>
      <w:r>
        <w:t>Reattivi</w:t>
      </w:r>
      <w:bookmarkEnd w:id="8"/>
      <w:r>
        <w:t xml:space="preserve"> </w:t>
      </w:r>
    </w:p>
    <w:p w14:paraId="511A9D4B" w14:textId="77777777" w:rsidR="00EF4BEC" w:rsidRDefault="009E2ACD" w:rsidP="00B83906">
      <w:pPr>
        <w:pStyle w:val="berschrift3"/>
      </w:pPr>
      <w:bookmarkStart w:id="9" w:name="_Toc161749081"/>
      <w:r>
        <w:t>Generalità</w:t>
      </w:r>
      <w:bookmarkEnd w:id="9"/>
    </w:p>
    <w:p w14:paraId="051131B2" w14:textId="77777777" w:rsidR="00EF4BEC" w:rsidRDefault="009E2ACD">
      <w:pPr>
        <w:pStyle w:val="AufzhlungPunkt"/>
      </w:pPr>
      <w:bookmarkStart w:id="10" w:name="_Hlk79411323"/>
      <w:r>
        <w:t>I reattivi usati in laboratorio devono portare il marchio CE.</w:t>
      </w:r>
      <w:bookmarkEnd w:id="10"/>
    </w:p>
    <w:p w14:paraId="7FAC3F45" w14:textId="77777777" w:rsidR="00EF4BEC" w:rsidRDefault="009E2ACD">
      <w:pPr>
        <w:pStyle w:val="AufzhlungPunkt"/>
      </w:pPr>
      <w:r>
        <w:t>I reattivi senza un marchio CE o di produzione propria devono essere convalidati prima dell’utilizzo secondo le norme di riferimento in vigore.</w:t>
      </w:r>
    </w:p>
    <w:p w14:paraId="0E043075" w14:textId="77777777" w:rsidR="00EF4BEC" w:rsidRDefault="009E2ACD">
      <w:pPr>
        <w:pStyle w:val="AufzhlungPunkt"/>
      </w:pPr>
      <w:r>
        <w:t>Nel caso in cui le informazioni concernenti le norme di qualità fossero insufficienti è raccomandata la richiesta al fornitore di un certificato d’analisi.</w:t>
      </w:r>
    </w:p>
    <w:p w14:paraId="51C3ABAE" w14:textId="77777777" w:rsidR="00EF4BEC" w:rsidRDefault="009E2ACD">
      <w:pPr>
        <w:pStyle w:val="AufzhlungPunkt"/>
      </w:pPr>
      <w:r>
        <w:t>I reattivi devono essere utilizzati conformemente alle prescrizioni fornite dal produttore (istruzioni per l’uso). Ogni modifica deve essere precedentemente validata.</w:t>
      </w:r>
    </w:p>
    <w:p w14:paraId="5A9E0E5F" w14:textId="77777777" w:rsidR="00EF4BEC" w:rsidRDefault="009E2ACD" w:rsidP="00B83906">
      <w:pPr>
        <w:pStyle w:val="berschrift3"/>
      </w:pPr>
      <w:bookmarkStart w:id="11" w:name="_Toc161749082"/>
      <w:r>
        <w:t>Soluzione di lavaggio per eritrociti</w:t>
      </w:r>
      <w:bookmarkEnd w:id="11"/>
    </w:p>
    <w:p w14:paraId="7C9A3C62" w14:textId="77777777" w:rsidR="00EF4BEC" w:rsidRDefault="009E2ACD">
      <w:pPr>
        <w:pStyle w:val="Listenabsatz"/>
        <w:numPr>
          <w:ilvl w:val="0"/>
          <w:numId w:val="1"/>
        </w:numPr>
        <w:rPr>
          <w:rFonts w:cs="Arial"/>
          <w:lang w:val="it-IT"/>
        </w:rPr>
      </w:pPr>
      <w:r>
        <w:rPr>
          <w:rFonts w:cs="Arial"/>
          <w:lang w:val="it-IT"/>
        </w:rPr>
        <w:t>Gli eritrociti devono essere lavati con una soluzione di NaCl isotonica con pH compreso tra 7,0 e 7,5.</w:t>
      </w:r>
    </w:p>
    <w:p w14:paraId="440B6EB1" w14:textId="77777777" w:rsidR="00EF4BEC" w:rsidRDefault="009E2ACD" w:rsidP="00B83906">
      <w:pPr>
        <w:pStyle w:val="berschrift3"/>
      </w:pPr>
      <w:bookmarkStart w:id="12" w:name="_Toc161749083"/>
      <w:r>
        <w:t>Eritrociti-test</w:t>
      </w:r>
      <w:bookmarkEnd w:id="12"/>
    </w:p>
    <w:p w14:paraId="05A25625" w14:textId="77777777" w:rsidR="00EF4BEC" w:rsidRDefault="009E2ACD">
      <w:pPr>
        <w:rPr>
          <w:rFonts w:cs="Arial"/>
          <w:lang w:val="it-IT"/>
        </w:rPr>
      </w:pPr>
      <w:r>
        <w:rPr>
          <w:rFonts w:cs="Arial"/>
          <w:lang w:val="it-IT"/>
        </w:rPr>
        <w:t>Per la controprova ABO nel siero</w:t>
      </w:r>
    </w:p>
    <w:p w14:paraId="3FCF74C0" w14:textId="77777777" w:rsidR="00EF4BEC" w:rsidRDefault="009E2ACD">
      <w:pPr>
        <w:pStyle w:val="AufzhlungPunkt"/>
      </w:pPr>
      <w:r>
        <w:t>Nella determinazione del gruppo ABO, la ricerca delle isoagglutinine viene effettuata grazie a eritrociti-test A</w:t>
      </w:r>
      <w:r>
        <w:rPr>
          <w:vertAlign w:val="subscript"/>
        </w:rPr>
        <w:t>1</w:t>
      </w:r>
      <w:r>
        <w:t>, B e O. L’uso di eritrociti-test A</w:t>
      </w:r>
      <w:r>
        <w:rPr>
          <w:vertAlign w:val="subscript"/>
        </w:rPr>
        <w:t>2</w:t>
      </w:r>
      <w:r>
        <w:t xml:space="preserve"> è facoltativo.</w:t>
      </w:r>
    </w:p>
    <w:p w14:paraId="14BEC324" w14:textId="77777777" w:rsidR="00EF4BEC" w:rsidRDefault="009E2ACD">
      <w:pPr>
        <w:rPr>
          <w:rFonts w:cs="Arial"/>
          <w:lang w:val="it-IT"/>
        </w:rPr>
      </w:pPr>
      <w:r>
        <w:rPr>
          <w:rFonts w:cs="Arial"/>
          <w:lang w:val="it-IT"/>
        </w:rPr>
        <w:t>Per la ricerca e l’identificazione di anticorpi</w:t>
      </w:r>
    </w:p>
    <w:p w14:paraId="43E3B97A" w14:textId="6B3F83BE" w:rsidR="00804081" w:rsidRDefault="009E2ACD">
      <w:pPr>
        <w:pStyle w:val="AufzhlungPunkt"/>
      </w:pPr>
      <w:r>
        <w:t>Gli eritrociti-test di gruppo O usati nella ricerca e nell’identificazione di anticorpi devono possedere i seguenti antigeni: RH1 (RhD), RH2 (C), RH3 (E), RH4 (c), RH5 (e), RH8 (C</w:t>
      </w:r>
      <w:r>
        <w:rPr>
          <w:vertAlign w:val="superscript"/>
        </w:rPr>
        <w:t>w</w:t>
      </w:r>
      <w:r>
        <w:t>), KEL1 (K), KEL2 (k), KEL3 (Kp</w:t>
      </w:r>
      <w:r>
        <w:rPr>
          <w:vertAlign w:val="superscript"/>
        </w:rPr>
        <w:t>a</w:t>
      </w:r>
      <w:r>
        <w:t>), JK1 (Jk</w:t>
      </w:r>
      <w:r>
        <w:rPr>
          <w:vertAlign w:val="superscript"/>
        </w:rPr>
        <w:t>a</w:t>
      </w:r>
      <w:r>
        <w:t>), JK2 (Jk</w:t>
      </w:r>
      <w:r>
        <w:rPr>
          <w:vertAlign w:val="superscript"/>
        </w:rPr>
        <w:t>b</w:t>
      </w:r>
      <w:r>
        <w:t>), FY1 (Fy</w:t>
      </w:r>
      <w:r>
        <w:rPr>
          <w:vertAlign w:val="superscript"/>
        </w:rPr>
        <w:t>a</w:t>
      </w:r>
      <w:r>
        <w:t>), FY2 (Fy</w:t>
      </w:r>
      <w:r>
        <w:rPr>
          <w:vertAlign w:val="superscript"/>
        </w:rPr>
        <w:t>b</w:t>
      </w:r>
      <w:r>
        <w:t>), MNS1 (M), MNS2 (N), MNS3 (S), MNS4 (s), LE1 (Le</w:t>
      </w:r>
      <w:r>
        <w:rPr>
          <w:vertAlign w:val="superscript"/>
        </w:rPr>
        <w:t>a</w:t>
      </w:r>
      <w:r>
        <w:t>), LE2 (Le</w:t>
      </w:r>
      <w:r>
        <w:rPr>
          <w:vertAlign w:val="superscript"/>
        </w:rPr>
        <w:t>b</w:t>
      </w:r>
      <w:r>
        <w:t>), P1PK1 (P1) e se possibile LU1 (Lu</w:t>
      </w:r>
      <w:r>
        <w:rPr>
          <w:vertAlign w:val="superscript"/>
        </w:rPr>
        <w:t>a</w:t>
      </w:r>
      <w:r>
        <w:t>).</w:t>
      </w:r>
    </w:p>
    <w:p w14:paraId="75510A4D" w14:textId="0F75E588" w:rsidR="00EF4BEC" w:rsidRDefault="009E2ACD" w:rsidP="008B6ADF">
      <w:pPr>
        <w:pStyle w:val="AufzhlungPunkt"/>
        <w:numPr>
          <w:ilvl w:val="0"/>
          <w:numId w:val="0"/>
        </w:numPr>
      </w:pPr>
      <w:r>
        <w:t>Almeno una cellula deve essere omozigote per gli antigeni RH2 (C), RH3 (E), RH4 (c), RH5 (e), JK1 (Jk</w:t>
      </w:r>
      <w:r>
        <w:rPr>
          <w:vertAlign w:val="superscript"/>
        </w:rPr>
        <w:t>a</w:t>
      </w:r>
      <w:r>
        <w:t>), JK2 (Jk</w:t>
      </w:r>
      <w:r>
        <w:rPr>
          <w:vertAlign w:val="superscript"/>
        </w:rPr>
        <w:t>b</w:t>
      </w:r>
      <w:r>
        <w:t>), FY1 (Fy</w:t>
      </w:r>
      <w:r>
        <w:rPr>
          <w:vertAlign w:val="superscript"/>
        </w:rPr>
        <w:t>a</w:t>
      </w:r>
      <w:r>
        <w:t>), FY2 (Fy</w:t>
      </w:r>
      <w:r>
        <w:rPr>
          <w:vertAlign w:val="superscript"/>
        </w:rPr>
        <w:t>b</w:t>
      </w:r>
      <w:r>
        <w:t>), MNS3 (S) e MNS4 (s). Gli eritrociti-test disponibili in commercio per la ricerca di anticorpi devono essere privi degli antigeni MNS9 (Vw), MNS11 (Mg) e DI3 (Wr</w:t>
      </w:r>
      <w:r>
        <w:rPr>
          <w:vertAlign w:val="superscript"/>
        </w:rPr>
        <w:t>a</w:t>
      </w:r>
      <w:r>
        <w:t>).</w:t>
      </w:r>
    </w:p>
    <w:p w14:paraId="41051E17" w14:textId="67F21F17" w:rsidR="00EF4BEC" w:rsidRDefault="009E2ACD">
      <w:pPr>
        <w:pStyle w:val="AufzhlungStrich"/>
      </w:pPr>
      <w:r>
        <w:t xml:space="preserve">In presenza di alloanticorpi l’esclusione di ulteriori anticorpi viene svolta con eritrociti-test, che presentano gli stessi criteri delle cellule-test per la ricerca di anticorpi. Se viene evidenziato l’anti-RH1 (anti-D), la presenza eterozigote degli antigeni RH2 (C) und RH3 (E) è sufficiente per la loro esclusione. </w:t>
      </w:r>
    </w:p>
    <w:p w14:paraId="7C602468" w14:textId="77777777" w:rsidR="00EF4BEC" w:rsidRDefault="009E2ACD">
      <w:pPr>
        <w:pStyle w:val="AufzhlungStrich"/>
      </w:pPr>
      <w:r>
        <w:t>Gli eritrociti-test usati non devono essere mescolati tra loro.</w:t>
      </w:r>
    </w:p>
    <w:p w14:paraId="0F6191A3" w14:textId="77777777" w:rsidR="00EF4BEC" w:rsidRDefault="009E2ACD" w:rsidP="00B83906">
      <w:pPr>
        <w:pStyle w:val="berschrift3"/>
      </w:pPr>
      <w:bookmarkStart w:id="13" w:name="_Toc161749084"/>
      <w:r>
        <w:t>Sieri-test</w:t>
      </w:r>
      <w:bookmarkEnd w:id="13"/>
    </w:p>
    <w:p w14:paraId="2D1CC467" w14:textId="7EADFBEB" w:rsidR="00EF4BEC" w:rsidRDefault="009E2ACD">
      <w:pPr>
        <w:rPr>
          <w:rFonts w:cs="Arial"/>
          <w:lang w:val="it-IT"/>
        </w:rPr>
      </w:pPr>
      <w:r>
        <w:rPr>
          <w:rFonts w:cs="Arial"/>
          <w:lang w:val="it-IT"/>
        </w:rPr>
        <w:t>Per la determinazione degli antigeni del gruppo ABO e dell’antigene RH1</w:t>
      </w:r>
    </w:p>
    <w:p w14:paraId="43A76102" w14:textId="77777777" w:rsidR="00EF4BEC" w:rsidRDefault="009E2ACD">
      <w:pPr>
        <w:pStyle w:val="AufzhlungPunkt"/>
      </w:pPr>
      <w:r>
        <w:t xml:space="preserve">Per la determinazione degli antigeni ABO si raccomanda l’utilizzo di sieri-test monoclonali anti-A e anti-B. L’uso del siero-test monoclonale anti-AB è facoltativo. I sieri-test anti-B monoclonali non reagiscono con un «antigene B acquisito». </w:t>
      </w:r>
    </w:p>
    <w:p w14:paraId="07416F68" w14:textId="6648D5BA" w:rsidR="00EF4BEC" w:rsidRDefault="009E2ACD">
      <w:pPr>
        <w:pStyle w:val="AufzhlungPunkt"/>
      </w:pPr>
      <w:r>
        <w:t xml:space="preserve">La determinazione dell’antigene RH1 deve essere realizzata con due sieri-test anti-RH1 monoclonali distinti, provenienti da due cloni diversi. Almeno un reattivo anti-RH1 non deve rilevare la variante </w:t>
      </w:r>
      <w:r>
        <w:rPr>
          <w:i/>
        </w:rPr>
        <w:t>RHD*06 (RHD*DVI).</w:t>
      </w:r>
      <w:r>
        <w:t xml:space="preserve"> Caso particolare per il neonato (vedi § 7.2).</w:t>
      </w:r>
    </w:p>
    <w:p w14:paraId="745BAEE9" w14:textId="133C30D1" w:rsidR="00EF4BEC" w:rsidRDefault="009E2ACD">
      <w:pPr>
        <w:rPr>
          <w:rFonts w:cs="Arial"/>
          <w:lang w:val="it-IT"/>
        </w:rPr>
      </w:pPr>
      <w:r>
        <w:rPr>
          <w:rFonts w:cs="Arial"/>
          <w:lang w:val="it-IT"/>
        </w:rPr>
        <w:t>Per la determinazione del fenotipo RH/KEL1 e degli altri antigeni dei gruppi sanguigni</w:t>
      </w:r>
    </w:p>
    <w:p w14:paraId="7C522171" w14:textId="77777777" w:rsidR="00EF4BEC" w:rsidRDefault="009E2ACD">
      <w:pPr>
        <w:pStyle w:val="AufzhlungPunkt"/>
      </w:pPr>
      <w:r>
        <w:t>Se disponibili in commercio utilizzare sieri-test monoclonali specifici (vedi anche § 5.2).</w:t>
      </w:r>
    </w:p>
    <w:p w14:paraId="75D9F58B" w14:textId="77777777" w:rsidR="00EF4BEC" w:rsidRDefault="009E2ACD" w:rsidP="00B83906">
      <w:pPr>
        <w:pStyle w:val="berschrift2"/>
      </w:pPr>
      <w:bookmarkStart w:id="14" w:name="_Toc161749085"/>
      <w:r>
        <w:t>Apparecch</w:t>
      </w:r>
      <w:bookmarkStart w:id="15" w:name="_Toc74204188"/>
      <w:r>
        <w:t>iature</w:t>
      </w:r>
      <w:bookmarkEnd w:id="14"/>
      <w:r>
        <w:t xml:space="preserve"> </w:t>
      </w:r>
      <w:bookmarkEnd w:id="15"/>
    </w:p>
    <w:p w14:paraId="45ADBB53" w14:textId="77777777" w:rsidR="00EF4BEC" w:rsidRDefault="009E2ACD">
      <w:pPr>
        <w:rPr>
          <w:rFonts w:cs="Arial"/>
          <w:lang w:val="it-IT"/>
        </w:rPr>
      </w:pPr>
      <w:r>
        <w:rPr>
          <w:rFonts w:cs="Arial"/>
          <w:lang w:val="it-IT"/>
        </w:rPr>
        <w:t>Gli apparecchi di laboratorio devono essere qualificati. Gli strumenti di laboratorio impiegati in immunoematologia devono sottostare a una manutenzione regolare. Le apparecchiature di laboratorio devono essere controllate secondo le norme interne di garanzia della qualità e i risultati devono essere registrati e archiviati conformemente alle disposizioni in vigore (cfr. § 2.3).</w:t>
      </w:r>
    </w:p>
    <w:p w14:paraId="34F8334C" w14:textId="77777777" w:rsidR="00EF4BEC" w:rsidRDefault="009E2ACD">
      <w:pPr>
        <w:rPr>
          <w:rFonts w:cs="Arial"/>
          <w:lang w:val="it-IT"/>
        </w:rPr>
      </w:pPr>
      <w:r>
        <w:rPr>
          <w:rFonts w:cs="Arial"/>
          <w:lang w:val="it-IT"/>
        </w:rPr>
        <w:lastRenderedPageBreak/>
        <w:t>Tutti gli impianti a controllo termico per prodotti sanguigni (frigoriferi, congelatori, oscillatori per trombociti, scongelatori per PFC) devono essere usati conformemente alle direttive di Swissmedic o delle autorità cantonali.</w:t>
      </w:r>
    </w:p>
    <w:p w14:paraId="30D4C3C6" w14:textId="77777777" w:rsidR="00EF4BEC" w:rsidRDefault="009E2ACD" w:rsidP="00B83906">
      <w:pPr>
        <w:pStyle w:val="berschrift2"/>
      </w:pPr>
      <w:bookmarkStart w:id="16" w:name="_Toc161749086"/>
      <w:r>
        <w:t>Controlli di qualità</w:t>
      </w:r>
      <w:bookmarkEnd w:id="16"/>
    </w:p>
    <w:p w14:paraId="6D67629C" w14:textId="39F83DCB" w:rsidR="00EF4BEC" w:rsidRDefault="009E2ACD" w:rsidP="00B83906">
      <w:pPr>
        <w:pStyle w:val="berschrift3"/>
      </w:pPr>
      <w:bookmarkStart w:id="17" w:name="_Toc161749087"/>
      <w:r>
        <w:t>Controlli di qualità interni</w:t>
      </w:r>
      <w:r w:rsidR="004C1E4F">
        <w:t xml:space="preserve"> </w:t>
      </w:r>
      <w:r w:rsidR="004C1E4F">
        <w:fldChar w:fldCharType="begin"/>
      </w:r>
      <w:r w:rsidR="004C1E4F">
        <w:instrText xml:space="preserve"> ADDIN ZOTERO_ITEM CSL_CITATION {"citationID":"Eb6ATEkq","properties":{"formattedCitation":"[9]","plainCitation":"[9]","noteIndex":0},"citationItems":[{"id":2493,"uris":["http://zotero.org/groups/969572/items/4M7FP3GN"],"uri":["http://zotero.org/groups/969572/items/4M7FP3GN"],"itemData":{"id":2493,"type":"article-journal","container-title":"British Committee for Standards in Haematology","page":"23:3-35","title":"Guidelines for pre-transfusion compatibility procedures in blood transfusion laboratories","author":[{"literal":"Milkins C, Berryman J, Cantwel C et al."}],"issued":{"date-parts":[["2013",4,25]]}}}],"schema":"https://github.com/citation-style-language/schema/raw/master/csl-citation.json"} </w:instrText>
      </w:r>
      <w:r w:rsidR="004C1E4F">
        <w:fldChar w:fldCharType="separate"/>
      </w:r>
      <w:r w:rsidR="004C1E4F" w:rsidRPr="004C1E4F">
        <w:rPr>
          <w:rFonts w:cs="Arial"/>
        </w:rPr>
        <w:t>[9]</w:t>
      </w:r>
      <w:bookmarkEnd w:id="17"/>
      <w:r w:rsidR="004C1E4F">
        <w:fldChar w:fldCharType="end"/>
      </w:r>
    </w:p>
    <w:p w14:paraId="323EF927" w14:textId="77777777" w:rsidR="00EF4BEC" w:rsidRDefault="009E2ACD">
      <w:pPr>
        <w:rPr>
          <w:rFonts w:cs="Arial"/>
          <w:lang w:val="it-IT"/>
        </w:rPr>
      </w:pPr>
      <w:r>
        <w:rPr>
          <w:rFonts w:cs="Arial"/>
          <w:lang w:val="it-IT"/>
        </w:rPr>
        <w:t>I controlli di qualità interni devono essere conformi alle seguenti esigenze minime.</w:t>
      </w:r>
    </w:p>
    <w:p w14:paraId="34E91806" w14:textId="77777777" w:rsidR="00EF4BEC" w:rsidRDefault="009E2ACD">
      <w:pPr>
        <w:pStyle w:val="AufzhlungPunkt"/>
      </w:pPr>
      <w:r>
        <w:t>Controllo degli eritrociti-test</w:t>
      </w:r>
    </w:p>
    <w:p w14:paraId="6D4B6343" w14:textId="77777777" w:rsidR="00EF4BEC" w:rsidRDefault="009E2ACD">
      <w:pPr>
        <w:pStyle w:val="AufzhlungStrich"/>
      </w:pPr>
      <w:r>
        <w:t>Per la controprova plasmatica/sierica ABO</w:t>
      </w:r>
    </w:p>
    <w:p w14:paraId="002BED51" w14:textId="77777777" w:rsidR="00EF4BEC" w:rsidRDefault="009E2ACD">
      <w:pPr>
        <w:pStyle w:val="AufzhlungQuadrat"/>
      </w:pPr>
      <w:r>
        <w:t>giornalmente o almeno ad ogni utilizzo</w:t>
      </w:r>
    </w:p>
    <w:p w14:paraId="303BE62A" w14:textId="77777777" w:rsidR="00EF4BEC" w:rsidRDefault="009E2ACD">
      <w:pPr>
        <w:pStyle w:val="AufzhlungQuadrat"/>
      </w:pPr>
      <w:r>
        <w:t>controllo degli eritrociti-test con dei sieri/plasma anti-A e anti-B noti</w:t>
      </w:r>
    </w:p>
    <w:p w14:paraId="04F99368" w14:textId="77777777" w:rsidR="00EF4BEC" w:rsidRPr="00991D46" w:rsidRDefault="009E2ACD">
      <w:pPr>
        <w:pStyle w:val="AufzhlungStrich"/>
      </w:pPr>
      <w:r>
        <w:t xml:space="preserve">Per </w:t>
      </w:r>
      <w:r w:rsidRPr="00991D46">
        <w:t xml:space="preserve">la ricerca di anticorpi </w:t>
      </w:r>
    </w:p>
    <w:p w14:paraId="7598BCD8" w14:textId="77777777" w:rsidR="00EF4BEC" w:rsidRPr="00991D46" w:rsidRDefault="009E2ACD">
      <w:pPr>
        <w:pStyle w:val="AufzhlungQuadrat"/>
      </w:pPr>
      <w:r w:rsidRPr="00991D46">
        <w:t>giornalmente o almeno ad ogni utilizzo</w:t>
      </w:r>
    </w:p>
    <w:p w14:paraId="7F918FEB" w14:textId="142641F7" w:rsidR="00EF4BEC" w:rsidRPr="00991D46" w:rsidRDefault="009E2ACD">
      <w:pPr>
        <w:pStyle w:val="AufzhlungQuadrat"/>
      </w:pPr>
      <w:r w:rsidRPr="00991D46">
        <w:t>controllo degli eritrociti-test con un anti-RH1 con titolo debole (</w:t>
      </w:r>
      <w:r w:rsidR="00AC1274" w:rsidRPr="00991D46">
        <w:t>concentrazione massima</w:t>
      </w:r>
      <w:r w:rsidRPr="00991D46">
        <w:t xml:space="preserve"> ≤</w:t>
      </w:r>
      <w:r w:rsidR="00AC1274" w:rsidRPr="00991D46">
        <w:t>2</w:t>
      </w:r>
      <w:r w:rsidRPr="00991D46">
        <w:t>0 ng anti-RH1 /ml</w:t>
      </w:r>
      <w:r w:rsidR="00AC1274" w:rsidRPr="00991D46">
        <w:t xml:space="preserve"> (0,1 UI/ml)</w:t>
      </w:r>
      <w:r w:rsidRPr="00991D46">
        <w:t xml:space="preserve">) </w:t>
      </w:r>
      <w:r w:rsidR="00991D46" w:rsidRPr="00991D46">
        <w:fldChar w:fldCharType="begin"/>
      </w:r>
      <w:r w:rsidR="00991D46" w:rsidRPr="00991D46">
        <w:instrText xml:space="preserve"> ADDIN ZOTERO_ITEM CSL_CITATION {"citationID":"CujcwSVT","properties":{"formattedCitation":"[10]","plainCitation":"[10]","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schema":"https://github.com/citation-style-language/schema/raw/master/csl-citation.json"} </w:instrText>
      </w:r>
      <w:r w:rsidR="00991D46" w:rsidRPr="00991D46">
        <w:fldChar w:fldCharType="separate"/>
      </w:r>
      <w:r w:rsidR="00991D46" w:rsidRPr="00991D46">
        <w:t>[10]</w:t>
      </w:r>
      <w:r w:rsidR="00991D46" w:rsidRPr="00991D46">
        <w:fldChar w:fldCharType="end"/>
      </w:r>
    </w:p>
    <w:p w14:paraId="0E4B287B" w14:textId="77777777" w:rsidR="00EF4BEC" w:rsidRDefault="009E2ACD">
      <w:pPr>
        <w:pStyle w:val="AufzhlungPunkt"/>
      </w:pPr>
      <w:r w:rsidRPr="00991D46">
        <w:t>Controllo</w:t>
      </w:r>
      <w:r>
        <w:t xml:space="preserve"> dei sieri-test</w:t>
      </w:r>
    </w:p>
    <w:p w14:paraId="745C9EC4" w14:textId="35A87447" w:rsidR="00EF4BEC" w:rsidRDefault="009E2ACD">
      <w:pPr>
        <w:pStyle w:val="AufzhlungStrich"/>
      </w:pPr>
      <w:r>
        <w:t>Per la determinazione degli antigeni AB/RH1</w:t>
      </w:r>
    </w:p>
    <w:p w14:paraId="2043CC3A" w14:textId="77777777" w:rsidR="00EF4BEC" w:rsidRDefault="009E2ACD">
      <w:pPr>
        <w:pStyle w:val="AufzhlungQuadrat"/>
      </w:pPr>
      <w:r>
        <w:t>giornalmente o almeno ad ogni utilizzo</w:t>
      </w:r>
    </w:p>
    <w:p w14:paraId="63FE8CD5" w14:textId="1A81A8C1" w:rsidR="00EF4BEC" w:rsidRDefault="009E2ACD">
      <w:pPr>
        <w:pStyle w:val="AufzhlungQuadrat"/>
      </w:pPr>
      <w:r>
        <w:t>controllo dei sieri-test con eritrociti con antigeni AB/RH1 noti</w:t>
      </w:r>
    </w:p>
    <w:p w14:paraId="376DB753" w14:textId="7B33A93C" w:rsidR="00EF4BEC" w:rsidRDefault="009E2ACD">
      <w:pPr>
        <w:pStyle w:val="AufzhlungStrich"/>
      </w:pPr>
      <w:r>
        <w:t>Per la determinazione del fenotipo RH/KEL1</w:t>
      </w:r>
    </w:p>
    <w:p w14:paraId="071EACDE" w14:textId="77777777" w:rsidR="00EF4BEC" w:rsidRDefault="009E2ACD">
      <w:pPr>
        <w:pStyle w:val="AufzhlungQuadrat"/>
      </w:pPr>
      <w:r>
        <w:t>giornalmente o almeno ad ogni utilizzo</w:t>
      </w:r>
    </w:p>
    <w:p w14:paraId="3EDA7F97" w14:textId="11E3FC43" w:rsidR="00EF4BEC" w:rsidRDefault="009E2ACD">
      <w:pPr>
        <w:pStyle w:val="AufzhlungQuadrat"/>
      </w:pPr>
      <w:r>
        <w:t xml:space="preserve">controllo dei sieri-test con eritrociti con antigeni eterozigoti </w:t>
      </w:r>
      <w:bookmarkStart w:id="18" w:name="_Hlk79415556"/>
      <w:r>
        <w:t>RH2 (C), RH3 (E), RH</w:t>
      </w:r>
      <w:r w:rsidR="00804081">
        <w:t>4</w:t>
      </w:r>
      <w:r>
        <w:t>, RH5 (e) e KEL1</w:t>
      </w:r>
      <w:bookmarkEnd w:id="18"/>
      <w:r>
        <w:t xml:space="preserve"> (K) noti</w:t>
      </w:r>
    </w:p>
    <w:p w14:paraId="5F5D8D82" w14:textId="77777777" w:rsidR="00EF4BEC" w:rsidRDefault="009E2ACD">
      <w:pPr>
        <w:pStyle w:val="AufzhlungStrich"/>
      </w:pPr>
      <w:r>
        <w:t xml:space="preserve">Per la determinazione di altri antigeni dei gruppi sanguigni </w:t>
      </w:r>
    </w:p>
    <w:p w14:paraId="230AA346" w14:textId="77777777" w:rsidR="00EF4BEC" w:rsidRDefault="009E2ACD">
      <w:pPr>
        <w:pStyle w:val="AufzhlungQuadrat"/>
      </w:pPr>
      <w:r>
        <w:t>giornalmente o almeno ad ogni utilizzo</w:t>
      </w:r>
    </w:p>
    <w:p w14:paraId="6A266F3F" w14:textId="77777777" w:rsidR="00EF4BEC" w:rsidRDefault="009E2ACD">
      <w:pPr>
        <w:pStyle w:val="AufzhlungQuadrat"/>
      </w:pPr>
      <w:r>
        <w:t>controllo dei sieri-test con almeno una sospensione eritrocitaria negativa e una positiva in forma eterozigote per ogni antigene</w:t>
      </w:r>
    </w:p>
    <w:p w14:paraId="5F86B447" w14:textId="77777777" w:rsidR="00EF4BEC" w:rsidRDefault="009E2ACD">
      <w:pPr>
        <w:pStyle w:val="AufzhlungPunkt"/>
      </w:pPr>
      <w:r>
        <w:t>Controllo del risultato della determinazione di un antigene del gruppo sanguigno tramite la tecnica del test all’antiglobulina umana indiretto</w:t>
      </w:r>
    </w:p>
    <w:p w14:paraId="4DBEF351" w14:textId="77777777" w:rsidR="00EF4BEC" w:rsidRDefault="009E2ACD">
      <w:pPr>
        <w:pStyle w:val="AufzhlungStrich"/>
      </w:pPr>
      <w:r>
        <w:t>Per escludere un risultato falsamente positivo in IAT, occorre eseguire in parallelo un test di Coombs diretto (DAT) usando lo stesso metodo di analisi.</w:t>
      </w:r>
    </w:p>
    <w:p w14:paraId="31893701" w14:textId="77777777" w:rsidR="00EF4BEC" w:rsidRDefault="009E2ACD">
      <w:pPr>
        <w:pStyle w:val="AufzhlungPunkt"/>
      </w:pPr>
      <w:r>
        <w:t>Controllo dei test di Coombs diretti e indiretti (DAT/IAT) in provetta</w:t>
      </w:r>
    </w:p>
    <w:p w14:paraId="780FED43" w14:textId="77777777" w:rsidR="00EF4BEC" w:rsidRDefault="009E2ACD">
      <w:pPr>
        <w:pStyle w:val="AufzhlungStrich"/>
      </w:pPr>
      <w:r>
        <w:t>Ogni risultato negativo deve risultare positivo dopo l’aggiunta del reattivo «Coombs control»</w:t>
      </w:r>
    </w:p>
    <w:p w14:paraId="160E239F" w14:textId="77777777" w:rsidR="00EF4BEC" w:rsidRDefault="009E2ACD">
      <w:pPr>
        <w:pStyle w:val="AufzhlungPunkt"/>
      </w:pPr>
      <w:r>
        <w:t xml:space="preserve">Controllo del DAT </w:t>
      </w:r>
    </w:p>
    <w:p w14:paraId="37793D0A" w14:textId="77777777" w:rsidR="00EF4BEC" w:rsidRDefault="009E2ACD">
      <w:pPr>
        <w:pStyle w:val="AufzhlungStrich"/>
      </w:pPr>
      <w:r>
        <w:t>Al momento non sono disponibili test commerciali appropriati (p. es. cellule test con debole contenuto di IgG e/o C3d).</w:t>
      </w:r>
    </w:p>
    <w:p w14:paraId="41277DE7" w14:textId="77777777" w:rsidR="00EF4BEC" w:rsidRPr="00991D46" w:rsidRDefault="009E2ACD">
      <w:pPr>
        <w:pStyle w:val="AufzhlungPunkt"/>
      </w:pPr>
      <w:r w:rsidRPr="00991D46">
        <w:t>Controllo del test di compatibilità</w:t>
      </w:r>
    </w:p>
    <w:p w14:paraId="2315D585" w14:textId="77777777" w:rsidR="00EF4BEC" w:rsidRPr="00991D46" w:rsidRDefault="009E2ACD">
      <w:pPr>
        <w:pStyle w:val="AufzhlungStrich"/>
      </w:pPr>
      <w:r w:rsidRPr="00991D46">
        <w:t>giornalmente o almeno ad ogni esecuzione del test</w:t>
      </w:r>
    </w:p>
    <w:p w14:paraId="17AD178D" w14:textId="0264C3EB" w:rsidR="00EF4BEC" w:rsidRPr="00991D46" w:rsidRDefault="009E2ACD">
      <w:pPr>
        <w:pStyle w:val="AufzhlungStrich"/>
      </w:pPr>
      <w:r w:rsidRPr="00991D46">
        <w:t>controllo del test di compatibilità con eritrociti RH1 positivi e RH1 negativi e un siero contenente una bassa concentrazione di anti-RH1 (</w:t>
      </w:r>
      <w:r w:rsidR="00A7662F" w:rsidRPr="00991D46">
        <w:t xml:space="preserve">concentrazione massima </w:t>
      </w:r>
      <w:r w:rsidRPr="00991D46">
        <w:t>≤</w:t>
      </w:r>
      <w:r w:rsidR="00A7662F" w:rsidRPr="00991D46">
        <w:t>2</w:t>
      </w:r>
      <w:r w:rsidRPr="00991D46">
        <w:t>0 ng anti-RH1 / ml</w:t>
      </w:r>
      <w:r w:rsidR="00A7662F" w:rsidRPr="00991D46">
        <w:t xml:space="preserve"> (0,1 UI/ml)</w:t>
      </w:r>
      <w:r w:rsidR="00991D46" w:rsidRPr="00991D46">
        <w:t xml:space="preserve">) </w:t>
      </w:r>
      <w:r w:rsidR="00991D46" w:rsidRPr="00991D46">
        <w:fldChar w:fldCharType="begin"/>
      </w:r>
      <w:r w:rsidR="00991D46" w:rsidRPr="00991D46">
        <w:instrText xml:space="preserve"> ADDIN ZOTERO_ITEM CSL_CITATION {"citationID":"Zjpai6Qo","properties":{"formattedCitation":"[10]","plainCitation":"[10]","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schema":"https://github.com/citation-style-language/schema/raw/master/csl-citation.json"} </w:instrText>
      </w:r>
      <w:r w:rsidR="00991D46" w:rsidRPr="00991D46">
        <w:fldChar w:fldCharType="separate"/>
      </w:r>
      <w:r w:rsidR="00991D46" w:rsidRPr="00991D46">
        <w:t>[10]</w:t>
      </w:r>
      <w:r w:rsidR="00991D46" w:rsidRPr="00991D46">
        <w:fldChar w:fldCharType="end"/>
      </w:r>
    </w:p>
    <w:p w14:paraId="666D3398" w14:textId="77777777" w:rsidR="00EF4BEC" w:rsidRDefault="009E2ACD">
      <w:pPr>
        <w:pStyle w:val="AufzhlungPunkt"/>
      </w:pPr>
      <w:r w:rsidRPr="00991D46">
        <w:t>Controllo</w:t>
      </w:r>
      <w:r>
        <w:t xml:space="preserve"> delle metodiche di biologia molecolare</w:t>
      </w:r>
    </w:p>
    <w:p w14:paraId="066130FA" w14:textId="77777777" w:rsidR="00EF4BEC" w:rsidRDefault="009E2ACD">
      <w:pPr>
        <w:pStyle w:val="AufzhlungStrich"/>
      </w:pPr>
      <w:r>
        <w:t>Il type di controllo dipende dal metodo utilizzato (marchio CE o metodica sviluppata in sede) (cfr. § 11).</w:t>
      </w:r>
    </w:p>
    <w:p w14:paraId="59A0A9BB" w14:textId="77777777" w:rsidR="00EF4BEC" w:rsidRDefault="009E2ACD">
      <w:pPr>
        <w:pStyle w:val="AufzhlungPunkt"/>
      </w:pPr>
      <w:r>
        <w:t>Controllo di ulteriori tecniche o metodiche</w:t>
      </w:r>
    </w:p>
    <w:p w14:paraId="039C4CA5" w14:textId="77777777" w:rsidR="00EF4BEC" w:rsidRDefault="009E2ACD">
      <w:pPr>
        <w:pStyle w:val="AufzhlungStrich"/>
      </w:pPr>
      <w:r>
        <w:lastRenderedPageBreak/>
        <w:t>Se le analisi vengono realizzate con più tecniche/metodi, ognuna di esse deve essere oggetto di un controllo di qualità.</w:t>
      </w:r>
    </w:p>
    <w:p w14:paraId="1E350406" w14:textId="77777777" w:rsidR="00EF4BEC" w:rsidRDefault="009E2ACD" w:rsidP="00B83906">
      <w:pPr>
        <w:pStyle w:val="berschrift3"/>
      </w:pPr>
      <w:bookmarkStart w:id="19" w:name="_Toc161749088"/>
      <w:r>
        <w:t>Controlli di qualità esterni</w:t>
      </w:r>
      <w:bookmarkEnd w:id="19"/>
    </w:p>
    <w:p w14:paraId="72E828DA" w14:textId="05975EC5" w:rsidR="00EF4BEC" w:rsidRDefault="009E2ACD">
      <w:pPr>
        <w:rPr>
          <w:rFonts w:cs="Arial"/>
          <w:lang w:val="it-IT"/>
        </w:rPr>
      </w:pPr>
      <w:r>
        <w:rPr>
          <w:rFonts w:cs="Arial"/>
          <w:lang w:val="it-IT"/>
        </w:rPr>
        <w:t xml:space="preserve">I laboratori che praticano l’immunoematologia devono partecipare 4 volte all’anno ai controlli di qualità esterni per immunoematologia svolti da un laboratorio riconosciuto </w:t>
      </w:r>
      <w:r w:rsidR="00991D46">
        <w:rPr>
          <w:rFonts w:cs="Arial"/>
          <w:lang w:val="it-IT"/>
        </w:rPr>
        <w:fldChar w:fldCharType="begin"/>
      </w:r>
      <w:r w:rsidR="00991D46">
        <w:rPr>
          <w:rFonts w:cs="Arial"/>
          <w:lang w:val="it-IT"/>
        </w:rPr>
        <w:instrText xml:space="preserve"> ADDIN ZOTERO_ITEM CSL_CITATION {"citationID":"UoRK4qYW","properties":{"formattedCitation":"[11]","plainCitation":"[11]","noteIndex":0},"citationItems":[{"id":5513,"uris":["http://zotero.org/groups/969572/items/RD6AYLNG"],"uri":["http://zotero.org/groups/969572/items/RD6AYLNG"],"itemData":{"id":5513,"type":"article","title":"QUALAB Schweizerischer Verein für Qualitätssicherung im mediznischen Laboratorium","URL":"https://www.qualab.swiss/QUALAB_d.htm","author":[{"literal":"QUALAB Swiss"}],"issued":{"date-parts":[["2020",3,12]]}}}],"schema":"https://github.com/citation-style-language/schema/raw/master/csl-citation.json"} </w:instrText>
      </w:r>
      <w:r w:rsidR="00991D46">
        <w:rPr>
          <w:rFonts w:cs="Arial"/>
          <w:lang w:val="it-IT"/>
        </w:rPr>
        <w:fldChar w:fldCharType="separate"/>
      </w:r>
      <w:r w:rsidR="00991D46" w:rsidRPr="00991D46">
        <w:rPr>
          <w:rFonts w:cs="Arial"/>
          <w:lang w:val="fr-CH"/>
        </w:rPr>
        <w:t>[11]</w:t>
      </w:r>
      <w:r w:rsidR="00991D46">
        <w:rPr>
          <w:rFonts w:cs="Arial"/>
          <w:lang w:val="it-IT"/>
        </w:rPr>
        <w:fldChar w:fldCharType="end"/>
      </w:r>
      <w:r w:rsidR="00991D46">
        <w:rPr>
          <w:rFonts w:cs="Arial"/>
          <w:lang w:val="it-IT"/>
        </w:rPr>
        <w:t xml:space="preserve"> </w:t>
      </w:r>
      <w:r>
        <w:rPr>
          <w:rFonts w:cs="Arial"/>
          <w:lang w:val="it-IT"/>
        </w:rPr>
        <w:t>per tutte le analisi praticate per le quali è disponibile un CQE.</w:t>
      </w:r>
    </w:p>
    <w:p w14:paraId="4F7428C2" w14:textId="77777777" w:rsidR="00EF4BEC" w:rsidRDefault="009E2ACD">
      <w:pPr>
        <w:rPr>
          <w:rFonts w:cs="Arial"/>
          <w:lang w:val="it-IT"/>
        </w:rPr>
        <w:sectPr w:rsidR="00EF4BEC">
          <w:pgSz w:w="11906" w:h="16838"/>
          <w:pgMar w:top="1418" w:right="1418" w:bottom="1134" w:left="1418" w:header="567" w:footer="0" w:gutter="0"/>
          <w:cols w:space="708"/>
          <w:docGrid w:linePitch="360"/>
        </w:sectPr>
      </w:pPr>
      <w:r>
        <w:rPr>
          <w:rFonts w:cs="Arial"/>
          <w:lang w:val="it-IT"/>
        </w:rPr>
        <w:t>I laboratori che utilizzano metodi di biologia molecolare devono partecipare 2 volte all’anno ai controlli di qualità esterni (vedi § 11).</w:t>
      </w:r>
    </w:p>
    <w:p w14:paraId="364C742B" w14:textId="7CDCD397" w:rsidR="00EF4BEC" w:rsidRDefault="009E2ACD">
      <w:pPr>
        <w:pStyle w:val="berschrift1"/>
      </w:pPr>
      <w:bookmarkStart w:id="20" w:name="_Toc161749089"/>
      <w:r>
        <w:lastRenderedPageBreak/>
        <w:t>Preanalitica</w:t>
      </w:r>
      <w:r w:rsidR="00991D46">
        <w:t xml:space="preserve"> </w:t>
      </w:r>
      <w:r w:rsidR="00991D46">
        <w:fldChar w:fldCharType="begin"/>
      </w:r>
      <w:r w:rsidR="00991D46">
        <w:instrText xml:space="preserve"> ADDIN ZOTERO_ITEM CSL_CITATION {"citationID":"DMjHLACP","properties":{"formattedCitation":"[9], [10], [12]","plainCitation":"[9], [10], [12]","noteIndex":0},"citationItems":[{"id":2493,"uris":["http://zotero.org/groups/969572/items/4M7FP3GN"],"uri":["http://zotero.org/groups/969572/items/4M7FP3GN"],"itemData":{"id":2493,"type":"article-journal","container-title":"British Committee for Standards in Haematology","page":"23:3-35","title":"Guidelines for pre-transfusion compatibility procedures in blood transfusion laboratories","author":[{"literal":"Milkins C, Berryman J, Cantwel C et al."}],"issued":{"date-parts":[["2013",4,25]]}}},{"id":277,"uris":["http://zotero.org/groups/969572/items/HHQ5QWXM"],"uri":["http://zotero.org/groups/969572/items/HHQ5QWXM"],"itemData":{"id":277,"type":"book","edition":"19","ISBN":"978-92-871-8415-3","source":"Google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id":2509,"uris":["http://zotero.org/groups/969572/items/LJRCHVBI"],"uri":["http://zotero.org/groups/969572/items/LJRCHVBI"],"itemData":{"id":2509,"type":"article-journal","container-title":"Vox sanguinis","title":"Pre-transfusion testing","author":[{"family":"White J","given":""}],"issued":{"date-parts":[["2009"]]}}}],"schema":"https://github.com/citation-style-language/schema/raw/master/csl-citation.json"} </w:instrText>
      </w:r>
      <w:r w:rsidR="00991D46">
        <w:fldChar w:fldCharType="separate"/>
      </w:r>
      <w:r w:rsidR="00991D46" w:rsidRPr="00991D46">
        <w:rPr>
          <w:rFonts w:cs="Arial"/>
        </w:rPr>
        <w:t>[9], [10], [12]</w:t>
      </w:r>
      <w:bookmarkEnd w:id="20"/>
      <w:r w:rsidR="00991D46">
        <w:fldChar w:fldCharType="end"/>
      </w:r>
    </w:p>
    <w:p w14:paraId="2E11595C" w14:textId="77777777" w:rsidR="00EF4BEC" w:rsidRDefault="009E2ACD" w:rsidP="00B83906">
      <w:pPr>
        <w:pStyle w:val="berschrift2"/>
      </w:pPr>
      <w:bookmarkStart w:id="21" w:name="_Toc161749090"/>
      <w:r>
        <w:t>Prelievo di campioni e identificazione</w:t>
      </w:r>
      <w:bookmarkEnd w:id="21"/>
    </w:p>
    <w:p w14:paraId="6A9DD9B0" w14:textId="77777777" w:rsidR="00EF4BEC" w:rsidRDefault="009E2ACD">
      <w:pPr>
        <w:pStyle w:val="AufzhlungPunkt"/>
      </w:pPr>
      <w:r>
        <w:t>Ogni analisi di immunoematologia implica l’utilizzo di un campione di sangue nativo (senza anticoagulante) e/o prelevato in EDTA.</w:t>
      </w:r>
    </w:p>
    <w:p w14:paraId="44B528C7" w14:textId="77777777" w:rsidR="00EF4BEC" w:rsidRDefault="009E2ACD">
      <w:pPr>
        <w:pStyle w:val="AufzhlungPunkt"/>
      </w:pPr>
      <w:r>
        <w:t>Si dovrà evitare di prelevare i campioni di sangue da vie venose usate per somministrare medicamenti, perfusioni o trasfusioni (rischio di diluizione). Se questo non fosse possibile, eliminare un sufficiente volume di sangue, prima di effettuare il prelievo, per evitare il rischio di diluizione.</w:t>
      </w:r>
    </w:p>
    <w:p w14:paraId="56D09A2E" w14:textId="7F7CBD1B" w:rsidR="00EF4BEC" w:rsidRDefault="009E2ACD">
      <w:pPr>
        <w:pStyle w:val="AufzhlungPunkt"/>
      </w:pPr>
      <w:r>
        <w:t xml:space="preserve">La persona che effettua il prelievo controlla </w:t>
      </w:r>
      <w:r w:rsidR="00A7662F">
        <w:t xml:space="preserve">e conferma </w:t>
      </w:r>
      <w:r w:rsidR="003164A6">
        <w:t xml:space="preserve">che </w:t>
      </w:r>
      <w:r w:rsidR="00A7662F">
        <w:t xml:space="preserve">la corretta identificazione del paziente </w:t>
      </w:r>
      <w:r w:rsidR="003164A6">
        <w:t xml:space="preserve">è </w:t>
      </w:r>
      <w:r w:rsidR="00A7662F">
        <w:t>avvenuta in modo appropriato</w:t>
      </w:r>
      <w:r>
        <w:t xml:space="preserve"> (firma/visto sulla richiesta di analisi e/o sulle provette, </w:t>
      </w:r>
      <w:r w:rsidR="00A7662F">
        <w:t>lettura in un</w:t>
      </w:r>
      <w:r>
        <w:t xml:space="preserve"> sistema di </w:t>
      </w:r>
      <w:r w:rsidR="00A7662F">
        <w:t xml:space="preserve">registrazione </w:t>
      </w:r>
      <w:r>
        <w:t>elettronico, ecc.). Questa informazione deve poter essere verificata dal laboratorio.</w:t>
      </w:r>
    </w:p>
    <w:p w14:paraId="1BB7B3D9" w14:textId="77777777" w:rsidR="00EF4BEC" w:rsidRDefault="009E2ACD">
      <w:pPr>
        <w:pStyle w:val="AufzhlungPunkt"/>
      </w:pPr>
      <w:r>
        <w:t>L’etichettatura delle provette deve permettere un’identificazione del paziente senza equivoci, quindi:</w:t>
      </w:r>
    </w:p>
    <w:p w14:paraId="717B5D34" w14:textId="77777777" w:rsidR="00EF4BEC" w:rsidRDefault="009E2ACD">
      <w:pPr>
        <w:pStyle w:val="AufzhlungStrich"/>
      </w:pPr>
      <w:r>
        <w:t>cognome, nome, data di nascita completa, o</w:t>
      </w:r>
    </w:p>
    <w:p w14:paraId="24B377C6" w14:textId="77777777" w:rsidR="00EF4BEC" w:rsidRDefault="009E2ACD">
      <w:pPr>
        <w:pStyle w:val="AufzhlungStrich"/>
      </w:pPr>
      <w:r>
        <w:t>numero di identificazione unico del paziente.</w:t>
      </w:r>
    </w:p>
    <w:p w14:paraId="14069F5B" w14:textId="77777777" w:rsidR="00EF4BEC" w:rsidRDefault="009E2ACD">
      <w:pPr>
        <w:pStyle w:val="AufzhlungPunkt"/>
      </w:pPr>
      <w:r>
        <w:t>Per ogni campione deve essere specificata la data e l’ora del prelievo (sulla provetta e/o sulla richiesta e/o in base ai dati di laboratorio).</w:t>
      </w:r>
    </w:p>
    <w:p w14:paraId="5D1C10EB" w14:textId="77777777" w:rsidR="00EF4BEC" w:rsidRDefault="009E2ACD">
      <w:pPr>
        <w:pStyle w:val="AufzhlungPunkt"/>
      </w:pPr>
      <w:r>
        <w:t>Se l’etichettatura del campione non è corretta, ma è possibile risalire all’identità del paziente, la decisione di effettuare o meno le analisi spetta al responsabile di laboratorio. Ogni nonconformità deve essere documentata.</w:t>
      </w:r>
    </w:p>
    <w:p w14:paraId="18C1DD51" w14:textId="77777777" w:rsidR="00EF4BEC" w:rsidRDefault="009E2ACD">
      <w:pPr>
        <w:pStyle w:val="AufzhlungPunkt"/>
      </w:pPr>
      <w:r>
        <w:t>Su campioni non etichettati o non attribuibili non si possono svolgere analisi pretrasfusionali.</w:t>
      </w:r>
    </w:p>
    <w:p w14:paraId="60542D03" w14:textId="77777777" w:rsidR="00EF4BEC" w:rsidRDefault="009E2ACD">
      <w:pPr>
        <w:pStyle w:val="AufzhlungPunkt"/>
      </w:pPr>
      <w:r>
        <w:t xml:space="preserve">Ogni responsabile di laboratorio deve elaborare un piano di emergenza che garantisca la sicurezza dell’attribuzione al paziente in caso di guasto del sistema informatico. </w:t>
      </w:r>
    </w:p>
    <w:p w14:paraId="184FBBF6" w14:textId="77777777" w:rsidR="00EF4BEC" w:rsidRDefault="009E2ACD" w:rsidP="00B83906">
      <w:pPr>
        <w:pStyle w:val="berschrift2"/>
      </w:pPr>
      <w:bookmarkStart w:id="22" w:name="_Toc161749091"/>
      <w:r>
        <w:t>Requisiti pretrasfusionali</w:t>
      </w:r>
      <w:bookmarkEnd w:id="22"/>
      <w:r>
        <w:t xml:space="preserve"> </w:t>
      </w:r>
    </w:p>
    <w:p w14:paraId="45EA871C" w14:textId="53ACBFBD" w:rsidR="00EF4BEC" w:rsidRDefault="009E2ACD" w:rsidP="00B83906">
      <w:pPr>
        <w:pStyle w:val="berschrift3"/>
      </w:pPr>
      <w:bookmarkStart w:id="23" w:name="_Toc74204195"/>
      <w:bookmarkStart w:id="24" w:name="_Toc161749092"/>
      <w:r>
        <w:t>Gruppo sanguigno ABO/RH1</w:t>
      </w:r>
      <w:bookmarkEnd w:id="23"/>
      <w:bookmarkEnd w:id="24"/>
    </w:p>
    <w:p w14:paraId="514E2698" w14:textId="04ED9CC2" w:rsidR="00EF4BEC" w:rsidRDefault="009E2ACD">
      <w:pPr>
        <w:rPr>
          <w:rFonts w:cs="Arial"/>
          <w:lang w:val="it-IT"/>
        </w:rPr>
      </w:pPr>
      <w:r>
        <w:rPr>
          <w:rFonts w:cs="Arial"/>
          <w:lang w:val="it-IT"/>
        </w:rPr>
        <w:t>La trasfusione di CE richiede che siano state effettuate almeno due determinazioni del gruppo sanguigno ABO/RH1 valide e documentate (Type). Se il gruppo ABO/RH1 non è stato mai determinato devono essere eseguite due determinazioni del gruppo complete su due campioni di sangue prelevati indipendentemente l’uno dall’altro, con ogni identificazione eseguita in modo indipendente, per scoprire qualsiasi type di scambio.</w:t>
      </w:r>
    </w:p>
    <w:p w14:paraId="3E2B84DD" w14:textId="77777777" w:rsidR="00EF4BEC" w:rsidRDefault="009E2ACD">
      <w:pPr>
        <w:pStyle w:val="AufzhlungPunkt"/>
      </w:pPr>
      <w:r>
        <w:t>Se è presente solo una determinazione del gruppo (interna o esterna), deve essere eseguita una seconda determinazione completa del gruppo. Le tessere del gruppo sanguigno emesse all’estero devono essere chiaramente leggibili e in seguito convalidate dal responsabile del laboratorio.</w:t>
      </w:r>
    </w:p>
    <w:p w14:paraId="2694DE7D" w14:textId="77777777" w:rsidR="00EF4BEC" w:rsidRDefault="009E2ACD">
      <w:pPr>
        <w:pStyle w:val="AufzhlungPunkt"/>
      </w:pPr>
      <w:r>
        <w:t>In caso di interventi programmati, si raccomanda di eseguire il primo prelievo prima dell’entrata in ospedale (determinazione del gruppo con ev. ricerca anticorpi) e prelevare il secondo campione solo al momento dell’entrata in ospedale (determinazione del gruppo, ev. ricerca anticorpi).</w:t>
      </w:r>
    </w:p>
    <w:p w14:paraId="382830D6" w14:textId="2AA3813D" w:rsidR="00EF4BEC" w:rsidRDefault="009E2ACD">
      <w:pPr>
        <w:pStyle w:val="AufzhlungPunkt"/>
      </w:pPr>
      <w:r>
        <w:t>In presenza di due determinazioni del gruppo complete e documentate (vedi § 5.1) o di una tessera del gruppo sanguigno valida con due determinazioni, è sufficiente eseguire solo un controllo degli antigeni AB/RH1.</w:t>
      </w:r>
    </w:p>
    <w:p w14:paraId="78E649E5" w14:textId="77777777" w:rsidR="00EF4BEC" w:rsidRDefault="009E2ACD">
      <w:pPr>
        <w:pStyle w:val="AufzhlungStrich"/>
      </w:pPr>
      <w:r>
        <w:t>Un cosiddetto «Bedside Test» non sostituisce la regolare determinazione del gruppo sanguigno. Eventuali deviazioni dalla procedura sopra descritta (per esempio nelle trasfusioni in urgenza) sono di responsabilità del medico che svolge la trasfusione e devono essere documentate (vedi anche § 9.3).</w:t>
      </w:r>
    </w:p>
    <w:p w14:paraId="35ADD353" w14:textId="77777777" w:rsidR="00EF4BEC" w:rsidRDefault="009E2ACD">
      <w:pPr>
        <w:pStyle w:val="AufzhlungPunkt"/>
      </w:pPr>
      <w:r>
        <w:t>Per la trasfusione di PFC si applicano le stesse disposizioni come per CE.</w:t>
      </w:r>
    </w:p>
    <w:p w14:paraId="6890D7D0" w14:textId="77777777" w:rsidR="00EF4BEC" w:rsidRDefault="009E2ACD">
      <w:pPr>
        <w:pStyle w:val="AufzhlungPunkt"/>
      </w:pPr>
      <w:r>
        <w:t>Per la trasfusione di CT è sufficiente un’unica determinazione.</w:t>
      </w:r>
    </w:p>
    <w:p w14:paraId="17B43D67" w14:textId="77777777" w:rsidR="00EF4BEC" w:rsidRDefault="009E2ACD" w:rsidP="00B83906">
      <w:pPr>
        <w:pStyle w:val="berschrift3"/>
      </w:pPr>
      <w:bookmarkStart w:id="25" w:name="_Toc161749093"/>
      <w:r>
        <w:lastRenderedPageBreak/>
        <w:t>Ricerca anticorpi</w:t>
      </w:r>
      <w:bookmarkEnd w:id="25"/>
    </w:p>
    <w:p w14:paraId="78A44F0A" w14:textId="77777777" w:rsidR="00EF4BEC" w:rsidRDefault="009E2ACD">
      <w:pPr>
        <w:pStyle w:val="AufzhlungPunkt"/>
      </w:pPr>
      <w:r>
        <w:t>Presenza di una RAI valida (screen) o identificazione degli anticorpi:</w:t>
      </w:r>
    </w:p>
    <w:p w14:paraId="52791C6E" w14:textId="77777777" w:rsidR="00EF4BEC" w:rsidRDefault="009E2ACD">
      <w:pPr>
        <w:pStyle w:val="AufzhlungStrich"/>
      </w:pPr>
      <w:r>
        <w:t>le analisi immunoematologiche possono essere svolte durante il periodo di validità del campione (mass. 96 ore).</w:t>
      </w:r>
    </w:p>
    <w:p w14:paraId="0B449416" w14:textId="77777777" w:rsidR="00EF4BEC" w:rsidRDefault="009E2ACD" w:rsidP="00B83906">
      <w:pPr>
        <w:pStyle w:val="berschrift2"/>
      </w:pPr>
      <w:bookmarkStart w:id="26" w:name="_Hlk24451546"/>
      <w:bookmarkStart w:id="27" w:name="_Toc161749094"/>
      <w:r>
        <w:t xml:space="preserve">Validità del materiale del campione e risultati </w:t>
      </w:r>
      <w:bookmarkEnd w:id="26"/>
      <w:r>
        <w:t>delle analisi pretrasfusionali</w:t>
      </w:r>
      <w:bookmarkEnd w:id="27"/>
    </w:p>
    <w:p w14:paraId="60F1C796" w14:textId="77777777" w:rsidR="00EF4BEC" w:rsidRDefault="009E2ACD">
      <w:pPr>
        <w:pStyle w:val="AufzhlungPunkt"/>
      </w:pPr>
      <w:r>
        <w:t xml:space="preserve">Per le analisi pretrasfusionali il campione di sangue deve essere prelevato al massimo 96 ore prima della trasfusione. </w:t>
      </w:r>
    </w:p>
    <w:p w14:paraId="3682BD27" w14:textId="0B3B3DD1" w:rsidR="00EF4BEC" w:rsidRPr="00047D06" w:rsidRDefault="009E2ACD" w:rsidP="00047D06">
      <w:pPr>
        <w:ind w:left="709" w:hanging="425"/>
        <w:rPr>
          <w:lang w:val="it-CH"/>
        </w:rPr>
      </w:pPr>
      <w:r w:rsidRPr="00047D06">
        <w:rPr>
          <w:lang w:val="it-IT"/>
        </w:rPr>
        <w:t xml:space="preserve">Al termine della validità si dovrà eseguire una nuova ricerca anticorpi prima di ogni ulteriore trasfusione, per escludere la presenza di nuovi anticorpi. </w:t>
      </w:r>
      <w:r w:rsidRPr="00047D06">
        <w:rPr>
          <w:lang w:val="it-CH"/>
        </w:rPr>
        <w:t>Esigenze minime: escludere RH (Rh), FY (Fy), JK (Jk), MNS3 (S) e MNS4 (s) con sospensioni eritrocitarie omozigoti</w:t>
      </w:r>
      <w:r w:rsidR="00A7662F">
        <w:rPr>
          <w:lang w:val="it-CH"/>
        </w:rPr>
        <w:t xml:space="preserve"> (§5.3).</w:t>
      </w:r>
      <w:r w:rsidRPr="00047D06">
        <w:rPr>
          <w:lang w:val="it-CH"/>
        </w:rPr>
        <w:t xml:space="preserve"> </w:t>
      </w:r>
      <w:r w:rsidR="00A7662F" w:rsidRPr="00D26756">
        <w:rPr>
          <w:rFonts w:cs="Arial"/>
          <w:lang w:val="it-IT"/>
        </w:rPr>
        <w:t xml:space="preserve">In casi eccezionali in cui non è possibile escludere gli anticorpi (ad es. anti-RH8 o anti-KEL3) a causa </w:t>
      </w:r>
      <w:r w:rsidR="00A7662F" w:rsidRPr="00DA2658">
        <w:rPr>
          <w:rFonts w:cs="Arial"/>
          <w:lang w:val="it-IT"/>
        </w:rPr>
        <w:t>della mancanza di cellule di test, è possibile selezionare CE antigene compatibile.</w:t>
      </w:r>
    </w:p>
    <w:p w14:paraId="509F5E14" w14:textId="77777777" w:rsidR="00EF4BEC" w:rsidRDefault="009E2ACD">
      <w:pPr>
        <w:pStyle w:val="AufzhlungPunkt"/>
      </w:pPr>
      <w:r>
        <w:t xml:space="preserve">I campioni possono essere conservati in sieroteca di norma tra 2 e 8 °C per 7 giorni. Se il siero viene conservato per più di 7 giorni, deve essere congelato. </w:t>
      </w:r>
    </w:p>
    <w:p w14:paraId="0CE90819" w14:textId="77777777" w:rsidR="00EF4BEC" w:rsidRDefault="009E2ACD">
      <w:pPr>
        <w:pStyle w:val="AufzhlungPunkt"/>
      </w:pPr>
      <w:r>
        <w:t xml:space="preserve">Un campione di sangue del paziente e un campione dei CE trasfusi (p. es. segmentino o sacca) devono essere conservati in laboratorio almeno per 7 giorni. </w:t>
      </w:r>
    </w:p>
    <w:p w14:paraId="62E870F6" w14:textId="77777777" w:rsidR="00EF4BEC" w:rsidRDefault="009E2ACD">
      <w:pPr>
        <w:pStyle w:val="AufzhlungPunkt"/>
      </w:pPr>
      <w:r>
        <w:t>Nei pazienti che non hanno ricevuto trasfusioni nei quattro mesi precedenti e al di fuori di una gravidanza, la validità dei risultati di una ricerca anticorpi irregolari negativa può essere prolungata a 21 giorni. Si dovrà allora verificare che:</w:t>
      </w:r>
    </w:p>
    <w:p w14:paraId="0A426AF5" w14:textId="77777777" w:rsidR="00EF4BEC" w:rsidRDefault="009E2ACD">
      <w:pPr>
        <w:pStyle w:val="AufzhlungStrich"/>
      </w:pPr>
      <w:r>
        <w:t>la ricerca anticorpi sia stata eseguita sotto la responsabilità del laboratorio dell’ospedale / della clinica dove il paziente viene trasfuso,</w:t>
      </w:r>
    </w:p>
    <w:p w14:paraId="310DE776" w14:textId="77777777" w:rsidR="00EF4BEC" w:rsidRDefault="009E2ACD">
      <w:pPr>
        <w:pStyle w:val="AufzhlungStrich"/>
        <w:sectPr w:rsidR="00EF4BEC">
          <w:pgSz w:w="11906" w:h="16838"/>
          <w:pgMar w:top="1418" w:right="1418" w:bottom="1134" w:left="1418" w:header="567" w:footer="0" w:gutter="0"/>
          <w:cols w:space="708"/>
          <w:docGrid w:linePitch="360"/>
        </w:sectPr>
      </w:pPr>
      <w:r>
        <w:t>il laboratorio sia in possesso, al più tardi al momento della richiesta di sangue, di un documento firmato dal medico responsabile che conferma che il paziente non ha ricevuto trasfusioni dall’ultimo prelievo di sangue e se si tratta di una donna, che essa non sia incinta. In assenza di tale conferma la RAI ha una validità di 96 ore, e un prolungamento della validità a 21 giorni non è conforme alle regole (vedi anche § 5.5).</w:t>
      </w:r>
      <w:bookmarkStart w:id="28" w:name="_Hlk79678235"/>
      <w:bookmarkEnd w:id="28"/>
    </w:p>
    <w:p w14:paraId="7D756504" w14:textId="40095DA4" w:rsidR="00EF4BEC" w:rsidRDefault="009E2ACD">
      <w:pPr>
        <w:pStyle w:val="berschrift1"/>
      </w:pPr>
      <w:bookmarkStart w:id="29" w:name="_Toc161749095"/>
      <w:r>
        <w:lastRenderedPageBreak/>
        <w:t>Analisi immunoematologiche</w:t>
      </w:r>
      <w:r w:rsidR="00991D46">
        <w:t xml:space="preserve"> </w:t>
      </w:r>
      <w:r w:rsidR="00991D46">
        <w:fldChar w:fldCharType="begin"/>
      </w:r>
      <w:r w:rsidR="00991D46">
        <w:instrText xml:space="preserve"> ADDIN ZOTERO_ITEM CSL_CITATION {"citationID":"hIV05xFN","properties":{"formattedCitation":"[9], [12], [13], [14]","plainCitation":"[9], [12], [13], [14]","noteIndex":0},"citationItems":[{"id":2493,"uris":["http://zotero.org/groups/969572/items/4M7FP3GN"],"uri":["http://zotero.org/groups/969572/items/4M7FP3GN"],"itemData":{"id":2493,"type":"article-journal","container-title":"British Committee for Standards in Haematology","page":"23:3-35","title":"Guidelines for pre-transfusion compatibility procedures in blood transfusion laboratories","author":[{"literal":"Milkins C, Berryman J, Cantwel C et al."}],"issued":{"date-parts":[["2013",4,25]]}}},{"id":2509,"uris":["http://zotero.org/groups/969572/items/LJRCHVBI"],"uri":["http://zotero.org/groups/969572/items/LJRCHVBI"],"itemData":{"id":2509,"type":"article-journal","container-title":"Vox sanguinis","title":"Pre-transfusion testing","author":[{"family":"White J","given":""}],"issued":{"date-parts":[["2009"]]}}},{"id":2514,"uris":["http://zotero.org/groups/969572/items/2C3IVTQ6"],"uri":["http://zotero.org/groups/969572/items/2C3IVTQ6"],"itemData":{"id":2514,"type":"article-journal","container-title":"Transfus Med. 26(04)","page":"246-63","title":"Guidelines for blood grouping and antibody testing in pregnancy. British Committee for Standards in Haematology.","author":[{"literal":"White J, Qureshi H, Massey E, Needs M, Byrne G, Daniels G, Allard S"}],"issued":{"date-parts":[["2016",8]]}}},{"id":5514,"uris":["http://zotero.org/groups/969572/items/J79R73I9"],"uri":["http://zotero.org/groups/969572/items/J79R73I9"],"itemData":{"id":5514,"type":"article-journal","container-title":"AABB","title":"Technichal Manual 2023 (21st edition)","URL":"https://www.aabb.org/aabb-store/product/technical-manual-21st-edition---print-16919010","author":[{"literal":"AABB American Association of Blood Bank"}],"issued":{"date-parts":[["2023"]]}}}],"schema":"https://github.com/citation-style-language/schema/raw/master/csl-citation.json"} </w:instrText>
      </w:r>
      <w:r w:rsidR="00991D46">
        <w:fldChar w:fldCharType="separate"/>
      </w:r>
      <w:r w:rsidR="00991D46" w:rsidRPr="00991D46">
        <w:rPr>
          <w:rFonts w:cs="Arial"/>
        </w:rPr>
        <w:t>[9], [12], [13], [14]</w:t>
      </w:r>
      <w:bookmarkEnd w:id="29"/>
      <w:r w:rsidR="00991D46">
        <w:fldChar w:fldCharType="end"/>
      </w:r>
    </w:p>
    <w:p w14:paraId="1BB151C7" w14:textId="77777777" w:rsidR="00EF4BEC" w:rsidRDefault="009E2ACD">
      <w:pPr>
        <w:rPr>
          <w:rFonts w:cs="Arial"/>
          <w:lang w:val="it-IT"/>
        </w:rPr>
      </w:pPr>
      <w:r>
        <w:rPr>
          <w:rFonts w:cs="Arial"/>
          <w:lang w:val="it-IT"/>
        </w:rPr>
        <w:t xml:space="preserve">Questo capitolo riguarda esclusivamente i metodi sierologici. Per la diagnosi molecolare si rimanda a § 11. </w:t>
      </w:r>
    </w:p>
    <w:p w14:paraId="7C9AF490" w14:textId="5DA1D4EE" w:rsidR="00EF4BEC" w:rsidRDefault="009E2ACD" w:rsidP="00B83906">
      <w:pPr>
        <w:pStyle w:val="berschrift2"/>
      </w:pPr>
      <w:bookmarkStart w:id="30" w:name="_Toc161749096"/>
      <w:r>
        <w:t>Determinazione dei gruppi sanguigni ABO e RH1</w:t>
      </w:r>
      <w:bookmarkEnd w:id="30"/>
    </w:p>
    <w:p w14:paraId="5FA53E22" w14:textId="3AD94D81" w:rsidR="00EF4BEC" w:rsidRDefault="009E2ACD" w:rsidP="00B83906">
      <w:pPr>
        <w:pStyle w:val="berschrift3"/>
      </w:pPr>
      <w:bookmarkStart w:id="31" w:name="_Toc161749097"/>
      <w:r>
        <w:t>Determinazione completa dei gruppi sanguigni ABO/RH1</w:t>
      </w:r>
      <w:bookmarkEnd w:id="31"/>
    </w:p>
    <w:p w14:paraId="614D8813" w14:textId="7AFC4189" w:rsidR="00EF4BEC" w:rsidRDefault="009E2ACD">
      <w:pPr>
        <w:rPr>
          <w:lang w:val="it-IT"/>
        </w:rPr>
      </w:pPr>
      <w:r>
        <w:rPr>
          <w:lang w:val="it-IT"/>
        </w:rPr>
        <w:t>La determinazione completa dei gruppi sanguigni ABO/RH1 comprende:</w:t>
      </w:r>
    </w:p>
    <w:p w14:paraId="766A260D" w14:textId="77777777" w:rsidR="00EF4BEC" w:rsidRDefault="009E2ACD">
      <w:pPr>
        <w:pStyle w:val="AufzhlungPunkt"/>
      </w:pPr>
      <w:r>
        <w:t>la determinazione degli antigeni AB sugli eritrociti del paziente e una controprova nel siero/plasma del paziente,</w:t>
      </w:r>
    </w:p>
    <w:p w14:paraId="6142C92A" w14:textId="3A6B0EDE" w:rsidR="00EF4BEC" w:rsidRDefault="009E2ACD">
      <w:pPr>
        <w:pStyle w:val="AufzhlungPunkt"/>
      </w:pPr>
      <w:r>
        <w:t>la determinazione dell’antigene RH1.</w:t>
      </w:r>
    </w:p>
    <w:p w14:paraId="5A2C479E" w14:textId="77777777" w:rsidR="00EF4BEC" w:rsidRDefault="009E2ACD">
      <w:pPr>
        <w:rPr>
          <w:lang w:val="it-IT"/>
        </w:rPr>
      </w:pPr>
      <w:r>
        <w:rPr>
          <w:lang w:val="it-IT"/>
        </w:rPr>
        <w:t>Determinazione manuale</w:t>
      </w:r>
    </w:p>
    <w:p w14:paraId="6FC45FCC" w14:textId="38263C48" w:rsidR="00EF4BEC" w:rsidRDefault="009E2ACD">
      <w:pPr>
        <w:pStyle w:val="AufzhlungPunkt"/>
      </w:pPr>
      <w:r>
        <w:t>La determinazione degli antigeni AB, la controprova sierica e la determinazione dell’antigene RH1 dovrebbero essere realizzate da due operatori diversi. Se l’analisi è eseguita da una sola persona, la determinazione deve essere ripetuta una seconda volta sullo stesso prelievo (con una nuova sospensione).</w:t>
      </w:r>
    </w:p>
    <w:p w14:paraId="5B9C086C" w14:textId="77777777" w:rsidR="00EF4BEC" w:rsidRDefault="009E2ACD">
      <w:pPr>
        <w:rPr>
          <w:rFonts w:cs="Arial"/>
          <w:lang w:val="it-IT"/>
        </w:rPr>
      </w:pPr>
      <w:r>
        <w:rPr>
          <w:rFonts w:cs="Arial"/>
          <w:lang w:val="it-IT"/>
        </w:rPr>
        <w:t>Determinazione automatizzata</w:t>
      </w:r>
    </w:p>
    <w:p w14:paraId="0BFC060F" w14:textId="77777777" w:rsidR="00EF4BEC" w:rsidRDefault="009E2ACD">
      <w:pPr>
        <w:pStyle w:val="AufzhlungPunkt"/>
      </w:pPr>
      <w:r>
        <w:t>Una determinazione automatizzata comporta una determinazione con un apparecchio automatico ed un trasferimento elettronico dei dati nel sistema informatico del laboratorio.</w:t>
      </w:r>
    </w:p>
    <w:p w14:paraId="5E81135D" w14:textId="2DE363A2" w:rsidR="00EF4BEC" w:rsidRDefault="009E2ACD">
      <w:pPr>
        <w:pStyle w:val="AufzhlungPunkt"/>
      </w:pPr>
      <w:r>
        <w:t>Se la determinazione degli antigeni AB/RH1 e la controprova sierica (gruppo completo) sono eseguite con un apparecchio automatico è sufficiente un unico test.</w:t>
      </w:r>
    </w:p>
    <w:p w14:paraId="18D0AD2E" w14:textId="77777777" w:rsidR="00EF4BEC" w:rsidRDefault="009E2ACD" w:rsidP="00B83906">
      <w:pPr>
        <w:pStyle w:val="berschrift3"/>
      </w:pPr>
      <w:bookmarkStart w:id="32" w:name="_Toc161749098"/>
      <w:r>
        <w:t>Risultati e interpretazione della determinazione del gruppo sanguigno ABO</w:t>
      </w:r>
      <w:bookmarkEnd w:id="32"/>
    </w:p>
    <w:p w14:paraId="189081C0" w14:textId="77777777" w:rsidR="00EF4BEC" w:rsidRDefault="009E2ACD">
      <w:pPr>
        <w:pStyle w:val="AufzhlungPunkt"/>
      </w:pPr>
      <w:r>
        <w:t>I risultati della determinazione del gruppo sanguigno e la loro interpretazione figurano nella tabella 5.1.2. I gruppi sanguigni devono essere documentati nella forma «O», «A», «B» o «AB».</w:t>
      </w:r>
    </w:p>
    <w:p w14:paraId="7ACE5386" w14:textId="77777777" w:rsidR="00EF4BEC" w:rsidRDefault="009E2ACD">
      <w:pPr>
        <w:pStyle w:val="AufzhlungPunkt"/>
      </w:pPr>
      <w:r>
        <w:t>In caso di divergenze o dubbi, il gruppo sanguigno non può essere interpretato. È necessario procedere a ulteriori indagini (vedi § 11).</w:t>
      </w:r>
    </w:p>
    <w:p w14:paraId="58674566" w14:textId="77777777" w:rsidR="00EF4BEC" w:rsidRDefault="009E2ACD">
      <w:pPr>
        <w:pStyle w:val="AufzhlungPunkt"/>
      </w:pPr>
      <w:r>
        <w:t>Se la prima determinazione del gruppo sanguigno è stata svolta attraverso la genetica molecolare, la seconda determinazione può essere realizzata in sierologia. Il risultato della determinazione sierologica deve essere compatibile con il risultato della prima determinazione.</w:t>
      </w:r>
    </w:p>
    <w:p w14:paraId="0CDE2E81" w14:textId="77777777" w:rsidR="00EF4BEC" w:rsidRDefault="009E2ACD">
      <w:pPr>
        <w:tabs>
          <w:tab w:val="left" w:pos="1134"/>
        </w:tabs>
        <w:ind w:left="851" w:firstLine="2"/>
        <w:rPr>
          <w:rFonts w:cs="Arial"/>
          <w:lang w:val="it-IT"/>
        </w:rPr>
      </w:pPr>
      <w:r>
        <w:rPr>
          <w:rFonts w:cs="Arial"/>
          <w:lang w:val="it-IT"/>
        </w:rPr>
        <w:t>Tabella 5.1.2 Risultati dei test e interpretazione della determinazione del gruppo ABO</w:t>
      </w:r>
    </w:p>
    <w:tbl>
      <w:tblPr>
        <w:tblW w:w="89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6"/>
        <w:gridCol w:w="1003"/>
        <w:gridCol w:w="1139"/>
        <w:gridCol w:w="987"/>
        <w:gridCol w:w="987"/>
        <w:gridCol w:w="975"/>
        <w:gridCol w:w="810"/>
        <w:gridCol w:w="2047"/>
        <w:gridCol w:w="6"/>
      </w:tblGrid>
      <w:tr w:rsidR="00EF4BEC" w14:paraId="12813D17" w14:textId="77777777">
        <w:trPr>
          <w:gridAfter w:val="1"/>
          <w:wAfter w:w="6" w:type="dxa"/>
        </w:trPr>
        <w:tc>
          <w:tcPr>
            <w:tcW w:w="3118" w:type="dxa"/>
            <w:gridSpan w:val="3"/>
            <w:shd w:val="clear" w:color="auto" w:fill="D9D9D9"/>
          </w:tcPr>
          <w:p w14:paraId="42AAB32D" w14:textId="77777777" w:rsidR="00EF4BEC" w:rsidRDefault="009E2ACD">
            <w:pPr>
              <w:rPr>
                <w:rFonts w:cs="Arial"/>
                <w:b/>
                <w:lang w:val="it-IT"/>
              </w:rPr>
            </w:pPr>
            <w:r>
              <w:rPr>
                <w:rFonts w:cs="Arial"/>
                <w:b/>
                <w:lang w:val="it-IT"/>
              </w:rPr>
              <w:t>Agglutinazione degli eritrociti del paziente con i sieri-test</w:t>
            </w:r>
          </w:p>
        </w:tc>
        <w:tc>
          <w:tcPr>
            <w:tcW w:w="3759" w:type="dxa"/>
            <w:gridSpan w:val="4"/>
            <w:shd w:val="clear" w:color="auto" w:fill="D9D9D9"/>
          </w:tcPr>
          <w:p w14:paraId="29A8948C" w14:textId="77777777" w:rsidR="00EF4BEC" w:rsidRDefault="009E2ACD">
            <w:pPr>
              <w:rPr>
                <w:rFonts w:cs="Arial"/>
                <w:b/>
                <w:lang w:val="it-IT"/>
              </w:rPr>
            </w:pPr>
            <w:r>
              <w:rPr>
                <w:rFonts w:cs="Arial"/>
                <w:b/>
                <w:lang w:val="it-IT"/>
              </w:rPr>
              <w:t>Agglutinazione degli eritrociti-test con il siero/plasma del paziente</w:t>
            </w:r>
          </w:p>
        </w:tc>
        <w:tc>
          <w:tcPr>
            <w:tcW w:w="2047" w:type="dxa"/>
            <w:shd w:val="clear" w:color="auto" w:fill="D9D9D9"/>
          </w:tcPr>
          <w:p w14:paraId="43579879" w14:textId="77777777" w:rsidR="00EF4BEC" w:rsidRDefault="009E2ACD">
            <w:pPr>
              <w:rPr>
                <w:rFonts w:cs="Arial"/>
                <w:b/>
              </w:rPr>
            </w:pPr>
            <w:r>
              <w:rPr>
                <w:rFonts w:cs="Arial"/>
                <w:b/>
              </w:rPr>
              <w:t>Interpretazione</w:t>
            </w:r>
          </w:p>
        </w:tc>
      </w:tr>
      <w:tr w:rsidR="00EF4BEC" w14:paraId="1CA76F7F" w14:textId="77777777">
        <w:trPr>
          <w:gridAfter w:val="1"/>
          <w:wAfter w:w="6" w:type="dxa"/>
        </w:trPr>
        <w:tc>
          <w:tcPr>
            <w:tcW w:w="976" w:type="dxa"/>
            <w:shd w:val="clear" w:color="auto" w:fill="auto"/>
          </w:tcPr>
          <w:p w14:paraId="03115AC0" w14:textId="77777777" w:rsidR="00EF4BEC" w:rsidRDefault="009E2ACD">
            <w:pPr>
              <w:rPr>
                <w:rFonts w:cs="Arial"/>
              </w:rPr>
            </w:pPr>
            <w:r>
              <w:rPr>
                <w:rFonts w:cs="Arial"/>
              </w:rPr>
              <w:t>Anti-A</w:t>
            </w:r>
          </w:p>
        </w:tc>
        <w:tc>
          <w:tcPr>
            <w:tcW w:w="1003" w:type="dxa"/>
            <w:shd w:val="clear" w:color="auto" w:fill="auto"/>
          </w:tcPr>
          <w:p w14:paraId="4BD31E7D" w14:textId="77777777" w:rsidR="00EF4BEC" w:rsidRDefault="009E2ACD">
            <w:pPr>
              <w:rPr>
                <w:rFonts w:cs="Arial"/>
              </w:rPr>
            </w:pPr>
            <w:r>
              <w:rPr>
                <w:rFonts w:cs="Arial"/>
              </w:rPr>
              <w:t>Anti-B</w:t>
            </w:r>
          </w:p>
        </w:tc>
        <w:tc>
          <w:tcPr>
            <w:tcW w:w="1139" w:type="dxa"/>
            <w:shd w:val="clear" w:color="auto" w:fill="FFFFFF"/>
          </w:tcPr>
          <w:p w14:paraId="7D4577BA" w14:textId="77777777" w:rsidR="00EF4BEC" w:rsidRDefault="009E2ACD">
            <w:pPr>
              <w:rPr>
                <w:rFonts w:cs="Arial"/>
              </w:rPr>
            </w:pPr>
            <w:r>
              <w:rPr>
                <w:rFonts w:cs="Arial"/>
              </w:rPr>
              <w:t>Anti-AB*</w:t>
            </w:r>
          </w:p>
        </w:tc>
        <w:tc>
          <w:tcPr>
            <w:tcW w:w="987" w:type="dxa"/>
            <w:shd w:val="clear" w:color="auto" w:fill="auto"/>
          </w:tcPr>
          <w:p w14:paraId="6D0F1500" w14:textId="77777777" w:rsidR="00EF4BEC" w:rsidRDefault="009E2ACD">
            <w:pPr>
              <w:rPr>
                <w:rFonts w:cs="Arial"/>
              </w:rPr>
            </w:pPr>
            <w:r>
              <w:rPr>
                <w:rFonts w:cs="Arial"/>
              </w:rPr>
              <w:t>A</w:t>
            </w:r>
            <w:r>
              <w:rPr>
                <w:rFonts w:cs="Arial"/>
                <w:vertAlign w:val="subscript"/>
              </w:rPr>
              <w:t>1</w:t>
            </w:r>
          </w:p>
        </w:tc>
        <w:tc>
          <w:tcPr>
            <w:tcW w:w="987" w:type="dxa"/>
            <w:shd w:val="clear" w:color="auto" w:fill="FFFFFF"/>
          </w:tcPr>
          <w:p w14:paraId="76A599B5" w14:textId="77777777" w:rsidR="00EF4BEC" w:rsidRDefault="009E2ACD">
            <w:pPr>
              <w:rPr>
                <w:rFonts w:cs="Arial"/>
              </w:rPr>
            </w:pPr>
            <w:r>
              <w:rPr>
                <w:rFonts w:cs="Arial"/>
              </w:rPr>
              <w:t>A</w:t>
            </w:r>
            <w:r>
              <w:rPr>
                <w:rFonts w:cs="Arial"/>
                <w:vertAlign w:val="subscript"/>
              </w:rPr>
              <w:t>2</w:t>
            </w:r>
            <w:r>
              <w:rPr>
                <w:rFonts w:cs="Arial"/>
              </w:rPr>
              <w:t>*</w:t>
            </w:r>
          </w:p>
        </w:tc>
        <w:tc>
          <w:tcPr>
            <w:tcW w:w="975" w:type="dxa"/>
            <w:shd w:val="clear" w:color="auto" w:fill="auto"/>
          </w:tcPr>
          <w:p w14:paraId="4A06A692" w14:textId="77777777" w:rsidR="00EF4BEC" w:rsidRDefault="009E2ACD">
            <w:pPr>
              <w:rPr>
                <w:rFonts w:cs="Arial"/>
              </w:rPr>
            </w:pPr>
            <w:r>
              <w:rPr>
                <w:rFonts w:cs="Arial"/>
              </w:rPr>
              <w:t>B</w:t>
            </w:r>
          </w:p>
        </w:tc>
        <w:tc>
          <w:tcPr>
            <w:tcW w:w="810" w:type="dxa"/>
            <w:shd w:val="clear" w:color="auto" w:fill="auto"/>
          </w:tcPr>
          <w:p w14:paraId="7C310594" w14:textId="77777777" w:rsidR="00EF4BEC" w:rsidRDefault="009E2ACD">
            <w:pPr>
              <w:rPr>
                <w:rFonts w:cs="Arial"/>
              </w:rPr>
            </w:pPr>
            <w:r>
              <w:rPr>
                <w:rFonts w:cs="Arial"/>
              </w:rPr>
              <w:t>O</w:t>
            </w:r>
          </w:p>
        </w:tc>
        <w:tc>
          <w:tcPr>
            <w:tcW w:w="2047" w:type="dxa"/>
            <w:shd w:val="clear" w:color="auto" w:fill="auto"/>
          </w:tcPr>
          <w:p w14:paraId="7FAFF719" w14:textId="77777777" w:rsidR="00EF4BEC" w:rsidRDefault="009E2ACD">
            <w:pPr>
              <w:rPr>
                <w:rFonts w:cs="Arial"/>
              </w:rPr>
            </w:pPr>
            <w:r>
              <w:rPr>
                <w:rFonts w:cs="Arial"/>
              </w:rPr>
              <w:t>Gruppo sanguigno</w:t>
            </w:r>
          </w:p>
        </w:tc>
      </w:tr>
      <w:tr w:rsidR="00EF4BEC" w14:paraId="456993F0" w14:textId="77777777">
        <w:trPr>
          <w:gridAfter w:val="1"/>
          <w:wAfter w:w="6" w:type="dxa"/>
          <w:trHeight w:val="369"/>
        </w:trPr>
        <w:tc>
          <w:tcPr>
            <w:tcW w:w="976" w:type="dxa"/>
            <w:shd w:val="clear" w:color="auto" w:fill="auto"/>
          </w:tcPr>
          <w:p w14:paraId="5E6D26E3" w14:textId="77777777" w:rsidR="00EF4BEC" w:rsidRDefault="009E2ACD">
            <w:pPr>
              <w:rPr>
                <w:rFonts w:cs="Arial"/>
              </w:rPr>
            </w:pPr>
            <w:r>
              <w:rPr>
                <w:rFonts w:cs="Arial"/>
              </w:rPr>
              <w:t>–</w:t>
            </w:r>
          </w:p>
        </w:tc>
        <w:tc>
          <w:tcPr>
            <w:tcW w:w="1003" w:type="dxa"/>
            <w:shd w:val="clear" w:color="auto" w:fill="auto"/>
          </w:tcPr>
          <w:p w14:paraId="1C79C4CF" w14:textId="77777777" w:rsidR="00EF4BEC" w:rsidRDefault="009E2ACD">
            <w:pPr>
              <w:rPr>
                <w:rFonts w:cs="Arial"/>
              </w:rPr>
            </w:pPr>
            <w:r>
              <w:rPr>
                <w:rFonts w:cs="Arial"/>
              </w:rPr>
              <w:t>–</w:t>
            </w:r>
          </w:p>
        </w:tc>
        <w:tc>
          <w:tcPr>
            <w:tcW w:w="1139" w:type="dxa"/>
            <w:shd w:val="clear" w:color="auto" w:fill="FFFFFF"/>
          </w:tcPr>
          <w:p w14:paraId="067FF3B9" w14:textId="77777777" w:rsidR="00EF4BEC" w:rsidRDefault="009E2ACD">
            <w:pPr>
              <w:rPr>
                <w:rFonts w:cs="Arial"/>
              </w:rPr>
            </w:pPr>
            <w:r>
              <w:rPr>
                <w:rFonts w:cs="Arial"/>
              </w:rPr>
              <w:t>–</w:t>
            </w:r>
          </w:p>
        </w:tc>
        <w:tc>
          <w:tcPr>
            <w:tcW w:w="987" w:type="dxa"/>
            <w:shd w:val="clear" w:color="auto" w:fill="auto"/>
          </w:tcPr>
          <w:p w14:paraId="75B5AE5C" w14:textId="77777777" w:rsidR="00EF4BEC" w:rsidRDefault="009E2ACD">
            <w:pPr>
              <w:rPr>
                <w:rFonts w:cs="Arial"/>
              </w:rPr>
            </w:pPr>
            <w:r>
              <w:rPr>
                <w:rFonts w:cs="Arial"/>
              </w:rPr>
              <w:t>+</w:t>
            </w:r>
          </w:p>
        </w:tc>
        <w:tc>
          <w:tcPr>
            <w:tcW w:w="987" w:type="dxa"/>
            <w:shd w:val="clear" w:color="auto" w:fill="FFFFFF"/>
          </w:tcPr>
          <w:p w14:paraId="55EEFB6D" w14:textId="77777777" w:rsidR="00EF4BEC" w:rsidRDefault="009E2ACD">
            <w:pPr>
              <w:rPr>
                <w:rFonts w:cs="Arial"/>
              </w:rPr>
            </w:pPr>
            <w:r>
              <w:rPr>
                <w:rFonts w:cs="Arial"/>
              </w:rPr>
              <w:t>+</w:t>
            </w:r>
          </w:p>
        </w:tc>
        <w:tc>
          <w:tcPr>
            <w:tcW w:w="975" w:type="dxa"/>
            <w:shd w:val="clear" w:color="auto" w:fill="auto"/>
          </w:tcPr>
          <w:p w14:paraId="4C30761D" w14:textId="77777777" w:rsidR="00EF4BEC" w:rsidRDefault="009E2ACD">
            <w:pPr>
              <w:rPr>
                <w:rFonts w:cs="Arial"/>
              </w:rPr>
            </w:pPr>
            <w:r>
              <w:rPr>
                <w:rFonts w:cs="Arial"/>
              </w:rPr>
              <w:t>+</w:t>
            </w:r>
          </w:p>
        </w:tc>
        <w:tc>
          <w:tcPr>
            <w:tcW w:w="810" w:type="dxa"/>
            <w:shd w:val="clear" w:color="auto" w:fill="auto"/>
          </w:tcPr>
          <w:p w14:paraId="7A30177D" w14:textId="77777777" w:rsidR="00EF4BEC" w:rsidRDefault="009E2ACD">
            <w:pPr>
              <w:rPr>
                <w:rFonts w:cs="Arial"/>
              </w:rPr>
            </w:pPr>
            <w:r>
              <w:rPr>
                <w:rFonts w:cs="Arial"/>
              </w:rPr>
              <w:t>–</w:t>
            </w:r>
          </w:p>
        </w:tc>
        <w:tc>
          <w:tcPr>
            <w:tcW w:w="2047" w:type="dxa"/>
            <w:shd w:val="clear" w:color="auto" w:fill="auto"/>
          </w:tcPr>
          <w:p w14:paraId="22021843" w14:textId="77777777" w:rsidR="00EF4BEC" w:rsidRDefault="009E2ACD">
            <w:pPr>
              <w:rPr>
                <w:rFonts w:cs="Arial"/>
              </w:rPr>
            </w:pPr>
            <w:r>
              <w:rPr>
                <w:rFonts w:cs="Arial"/>
              </w:rPr>
              <w:t>O</w:t>
            </w:r>
          </w:p>
        </w:tc>
      </w:tr>
      <w:tr w:rsidR="00EF4BEC" w14:paraId="7087CAFE" w14:textId="77777777">
        <w:trPr>
          <w:gridAfter w:val="1"/>
          <w:wAfter w:w="6" w:type="dxa"/>
          <w:trHeight w:val="261"/>
        </w:trPr>
        <w:tc>
          <w:tcPr>
            <w:tcW w:w="976" w:type="dxa"/>
            <w:shd w:val="clear" w:color="auto" w:fill="auto"/>
          </w:tcPr>
          <w:p w14:paraId="7E5D309B" w14:textId="77777777" w:rsidR="00EF4BEC" w:rsidRDefault="009E2ACD">
            <w:pPr>
              <w:rPr>
                <w:rFonts w:cs="Arial"/>
              </w:rPr>
            </w:pPr>
            <w:r>
              <w:rPr>
                <w:rFonts w:cs="Arial"/>
              </w:rPr>
              <w:t>+</w:t>
            </w:r>
          </w:p>
        </w:tc>
        <w:tc>
          <w:tcPr>
            <w:tcW w:w="1003" w:type="dxa"/>
            <w:shd w:val="clear" w:color="auto" w:fill="auto"/>
          </w:tcPr>
          <w:p w14:paraId="581EA304" w14:textId="77777777" w:rsidR="00EF4BEC" w:rsidRDefault="009E2ACD">
            <w:pPr>
              <w:rPr>
                <w:rFonts w:cs="Arial"/>
              </w:rPr>
            </w:pPr>
            <w:r>
              <w:rPr>
                <w:rFonts w:cs="Arial"/>
              </w:rPr>
              <w:t>–</w:t>
            </w:r>
          </w:p>
        </w:tc>
        <w:tc>
          <w:tcPr>
            <w:tcW w:w="1139" w:type="dxa"/>
            <w:shd w:val="clear" w:color="auto" w:fill="FFFFFF"/>
          </w:tcPr>
          <w:p w14:paraId="2A60C245" w14:textId="77777777" w:rsidR="00EF4BEC" w:rsidRDefault="009E2ACD">
            <w:pPr>
              <w:rPr>
                <w:rFonts w:cs="Arial"/>
              </w:rPr>
            </w:pPr>
            <w:r>
              <w:rPr>
                <w:rFonts w:cs="Arial"/>
              </w:rPr>
              <w:t>+</w:t>
            </w:r>
          </w:p>
        </w:tc>
        <w:tc>
          <w:tcPr>
            <w:tcW w:w="987" w:type="dxa"/>
            <w:shd w:val="clear" w:color="auto" w:fill="auto"/>
          </w:tcPr>
          <w:p w14:paraId="5D09A788" w14:textId="77777777" w:rsidR="00EF4BEC" w:rsidRDefault="009E2ACD">
            <w:pPr>
              <w:rPr>
                <w:rFonts w:cs="Arial"/>
              </w:rPr>
            </w:pPr>
            <w:r>
              <w:rPr>
                <w:rFonts w:cs="Arial"/>
              </w:rPr>
              <w:t>–</w:t>
            </w:r>
          </w:p>
        </w:tc>
        <w:tc>
          <w:tcPr>
            <w:tcW w:w="987" w:type="dxa"/>
            <w:shd w:val="clear" w:color="auto" w:fill="FFFFFF"/>
          </w:tcPr>
          <w:p w14:paraId="566CFDC6" w14:textId="77777777" w:rsidR="00EF4BEC" w:rsidRDefault="009E2ACD">
            <w:pPr>
              <w:rPr>
                <w:rFonts w:cs="Arial"/>
              </w:rPr>
            </w:pPr>
            <w:r>
              <w:rPr>
                <w:rFonts w:cs="Arial"/>
              </w:rPr>
              <w:t>–</w:t>
            </w:r>
          </w:p>
        </w:tc>
        <w:tc>
          <w:tcPr>
            <w:tcW w:w="975" w:type="dxa"/>
            <w:shd w:val="clear" w:color="auto" w:fill="auto"/>
          </w:tcPr>
          <w:p w14:paraId="2E5067F4" w14:textId="77777777" w:rsidR="00EF4BEC" w:rsidRDefault="009E2ACD">
            <w:pPr>
              <w:rPr>
                <w:rFonts w:cs="Arial"/>
              </w:rPr>
            </w:pPr>
            <w:r>
              <w:rPr>
                <w:rFonts w:cs="Arial"/>
              </w:rPr>
              <w:t>+</w:t>
            </w:r>
          </w:p>
        </w:tc>
        <w:tc>
          <w:tcPr>
            <w:tcW w:w="810" w:type="dxa"/>
            <w:shd w:val="clear" w:color="auto" w:fill="auto"/>
          </w:tcPr>
          <w:p w14:paraId="5DB0B901" w14:textId="77777777" w:rsidR="00EF4BEC" w:rsidRDefault="009E2ACD">
            <w:pPr>
              <w:rPr>
                <w:rFonts w:cs="Arial"/>
              </w:rPr>
            </w:pPr>
            <w:r>
              <w:rPr>
                <w:rFonts w:cs="Arial"/>
              </w:rPr>
              <w:t>–</w:t>
            </w:r>
          </w:p>
        </w:tc>
        <w:tc>
          <w:tcPr>
            <w:tcW w:w="2047" w:type="dxa"/>
            <w:shd w:val="clear" w:color="auto" w:fill="auto"/>
          </w:tcPr>
          <w:p w14:paraId="5FB6527F" w14:textId="77777777" w:rsidR="00EF4BEC" w:rsidRDefault="009E2ACD">
            <w:pPr>
              <w:rPr>
                <w:rFonts w:cs="Arial"/>
              </w:rPr>
            </w:pPr>
            <w:r>
              <w:rPr>
                <w:rFonts w:cs="Arial"/>
              </w:rPr>
              <w:t>A</w:t>
            </w:r>
          </w:p>
        </w:tc>
      </w:tr>
      <w:tr w:rsidR="00EF4BEC" w14:paraId="352C7608" w14:textId="77777777">
        <w:trPr>
          <w:gridAfter w:val="1"/>
          <w:wAfter w:w="6" w:type="dxa"/>
        </w:trPr>
        <w:tc>
          <w:tcPr>
            <w:tcW w:w="976" w:type="dxa"/>
            <w:shd w:val="clear" w:color="auto" w:fill="auto"/>
          </w:tcPr>
          <w:p w14:paraId="248371F4" w14:textId="77777777" w:rsidR="00EF4BEC" w:rsidRDefault="009E2ACD">
            <w:pPr>
              <w:rPr>
                <w:rFonts w:cs="Arial"/>
              </w:rPr>
            </w:pPr>
            <w:r>
              <w:rPr>
                <w:rFonts w:cs="Arial"/>
              </w:rPr>
              <w:t>–</w:t>
            </w:r>
          </w:p>
        </w:tc>
        <w:tc>
          <w:tcPr>
            <w:tcW w:w="1003" w:type="dxa"/>
            <w:shd w:val="clear" w:color="auto" w:fill="auto"/>
          </w:tcPr>
          <w:p w14:paraId="61B764E5" w14:textId="77777777" w:rsidR="00EF4BEC" w:rsidRDefault="009E2ACD">
            <w:pPr>
              <w:rPr>
                <w:rFonts w:cs="Arial"/>
              </w:rPr>
            </w:pPr>
            <w:r>
              <w:rPr>
                <w:rFonts w:cs="Arial"/>
              </w:rPr>
              <w:t>+</w:t>
            </w:r>
          </w:p>
        </w:tc>
        <w:tc>
          <w:tcPr>
            <w:tcW w:w="1139" w:type="dxa"/>
            <w:shd w:val="clear" w:color="auto" w:fill="FFFFFF"/>
          </w:tcPr>
          <w:p w14:paraId="53A69B6D" w14:textId="77777777" w:rsidR="00EF4BEC" w:rsidRDefault="009E2ACD">
            <w:pPr>
              <w:rPr>
                <w:rFonts w:cs="Arial"/>
              </w:rPr>
            </w:pPr>
            <w:r>
              <w:rPr>
                <w:rFonts w:cs="Arial"/>
              </w:rPr>
              <w:t>+</w:t>
            </w:r>
          </w:p>
        </w:tc>
        <w:tc>
          <w:tcPr>
            <w:tcW w:w="987" w:type="dxa"/>
            <w:shd w:val="clear" w:color="auto" w:fill="auto"/>
          </w:tcPr>
          <w:p w14:paraId="39A59690" w14:textId="77777777" w:rsidR="00EF4BEC" w:rsidRDefault="009E2ACD">
            <w:pPr>
              <w:rPr>
                <w:rFonts w:cs="Arial"/>
              </w:rPr>
            </w:pPr>
            <w:r>
              <w:rPr>
                <w:rFonts w:cs="Arial"/>
              </w:rPr>
              <w:t>+</w:t>
            </w:r>
          </w:p>
        </w:tc>
        <w:tc>
          <w:tcPr>
            <w:tcW w:w="987" w:type="dxa"/>
            <w:shd w:val="clear" w:color="auto" w:fill="FFFFFF"/>
          </w:tcPr>
          <w:p w14:paraId="208DF6B8" w14:textId="77777777" w:rsidR="00EF4BEC" w:rsidRDefault="009E2ACD">
            <w:pPr>
              <w:rPr>
                <w:rFonts w:cs="Arial"/>
              </w:rPr>
            </w:pPr>
            <w:r>
              <w:rPr>
                <w:rFonts w:cs="Arial"/>
              </w:rPr>
              <w:t>+</w:t>
            </w:r>
          </w:p>
        </w:tc>
        <w:tc>
          <w:tcPr>
            <w:tcW w:w="975" w:type="dxa"/>
            <w:shd w:val="clear" w:color="auto" w:fill="auto"/>
          </w:tcPr>
          <w:p w14:paraId="013EB39C" w14:textId="77777777" w:rsidR="00EF4BEC" w:rsidRDefault="009E2ACD">
            <w:pPr>
              <w:rPr>
                <w:rFonts w:cs="Arial"/>
              </w:rPr>
            </w:pPr>
            <w:r>
              <w:rPr>
                <w:rFonts w:cs="Arial"/>
              </w:rPr>
              <w:t>–</w:t>
            </w:r>
          </w:p>
        </w:tc>
        <w:tc>
          <w:tcPr>
            <w:tcW w:w="810" w:type="dxa"/>
            <w:shd w:val="clear" w:color="auto" w:fill="auto"/>
          </w:tcPr>
          <w:p w14:paraId="5D7D1514" w14:textId="77777777" w:rsidR="00EF4BEC" w:rsidRDefault="009E2ACD">
            <w:pPr>
              <w:rPr>
                <w:rFonts w:cs="Arial"/>
              </w:rPr>
            </w:pPr>
            <w:r>
              <w:rPr>
                <w:rFonts w:cs="Arial"/>
              </w:rPr>
              <w:t>–</w:t>
            </w:r>
          </w:p>
        </w:tc>
        <w:tc>
          <w:tcPr>
            <w:tcW w:w="2047" w:type="dxa"/>
            <w:shd w:val="clear" w:color="auto" w:fill="auto"/>
          </w:tcPr>
          <w:p w14:paraId="229E7CF5" w14:textId="77777777" w:rsidR="00EF4BEC" w:rsidRDefault="009E2ACD">
            <w:pPr>
              <w:rPr>
                <w:rFonts w:cs="Arial"/>
              </w:rPr>
            </w:pPr>
            <w:r>
              <w:rPr>
                <w:rFonts w:cs="Arial"/>
              </w:rPr>
              <w:t>B</w:t>
            </w:r>
          </w:p>
        </w:tc>
      </w:tr>
      <w:tr w:rsidR="00EF4BEC" w14:paraId="11304341" w14:textId="77777777">
        <w:tc>
          <w:tcPr>
            <w:tcW w:w="976" w:type="dxa"/>
            <w:tcBorders>
              <w:bottom w:val="single" w:sz="4" w:space="0" w:color="auto"/>
            </w:tcBorders>
            <w:shd w:val="clear" w:color="auto" w:fill="auto"/>
          </w:tcPr>
          <w:p w14:paraId="05B8DF23" w14:textId="77777777" w:rsidR="00EF4BEC" w:rsidRDefault="009E2ACD">
            <w:pPr>
              <w:rPr>
                <w:rFonts w:cs="Arial"/>
              </w:rPr>
            </w:pPr>
            <w:r>
              <w:rPr>
                <w:rFonts w:cs="Arial"/>
              </w:rPr>
              <w:t>+</w:t>
            </w:r>
          </w:p>
        </w:tc>
        <w:tc>
          <w:tcPr>
            <w:tcW w:w="1003" w:type="dxa"/>
            <w:tcBorders>
              <w:bottom w:val="single" w:sz="4" w:space="0" w:color="auto"/>
            </w:tcBorders>
            <w:shd w:val="clear" w:color="auto" w:fill="auto"/>
          </w:tcPr>
          <w:p w14:paraId="2054E71B" w14:textId="77777777" w:rsidR="00EF4BEC" w:rsidRDefault="009E2ACD">
            <w:pPr>
              <w:rPr>
                <w:rFonts w:cs="Arial"/>
              </w:rPr>
            </w:pPr>
            <w:r>
              <w:rPr>
                <w:rFonts w:cs="Arial"/>
              </w:rPr>
              <w:t>+</w:t>
            </w:r>
          </w:p>
        </w:tc>
        <w:tc>
          <w:tcPr>
            <w:tcW w:w="1139" w:type="dxa"/>
            <w:tcBorders>
              <w:bottom w:val="single" w:sz="4" w:space="0" w:color="auto"/>
            </w:tcBorders>
            <w:shd w:val="clear" w:color="auto" w:fill="FFFFFF"/>
          </w:tcPr>
          <w:p w14:paraId="7432C2C8" w14:textId="77777777" w:rsidR="00EF4BEC" w:rsidRDefault="009E2ACD">
            <w:pPr>
              <w:rPr>
                <w:rFonts w:cs="Arial"/>
              </w:rPr>
            </w:pPr>
            <w:r>
              <w:rPr>
                <w:rFonts w:cs="Arial"/>
              </w:rPr>
              <w:t>+</w:t>
            </w:r>
          </w:p>
        </w:tc>
        <w:tc>
          <w:tcPr>
            <w:tcW w:w="987" w:type="dxa"/>
            <w:tcBorders>
              <w:bottom w:val="single" w:sz="4" w:space="0" w:color="auto"/>
            </w:tcBorders>
            <w:shd w:val="clear" w:color="auto" w:fill="auto"/>
          </w:tcPr>
          <w:p w14:paraId="5A6779E7" w14:textId="77777777" w:rsidR="00EF4BEC" w:rsidRDefault="009E2ACD">
            <w:pPr>
              <w:rPr>
                <w:rFonts w:cs="Arial"/>
              </w:rPr>
            </w:pPr>
            <w:r>
              <w:rPr>
                <w:rFonts w:cs="Arial"/>
              </w:rPr>
              <w:t>–</w:t>
            </w:r>
          </w:p>
        </w:tc>
        <w:tc>
          <w:tcPr>
            <w:tcW w:w="987" w:type="dxa"/>
            <w:tcBorders>
              <w:bottom w:val="single" w:sz="4" w:space="0" w:color="auto"/>
            </w:tcBorders>
            <w:shd w:val="clear" w:color="auto" w:fill="FFFFFF"/>
          </w:tcPr>
          <w:p w14:paraId="4EBC6783" w14:textId="77777777" w:rsidR="00EF4BEC" w:rsidRDefault="009E2ACD">
            <w:pPr>
              <w:rPr>
                <w:rFonts w:cs="Arial"/>
              </w:rPr>
            </w:pPr>
            <w:r>
              <w:rPr>
                <w:rFonts w:cs="Arial"/>
              </w:rPr>
              <w:t>–</w:t>
            </w:r>
          </w:p>
        </w:tc>
        <w:tc>
          <w:tcPr>
            <w:tcW w:w="975" w:type="dxa"/>
            <w:tcBorders>
              <w:bottom w:val="single" w:sz="4" w:space="0" w:color="auto"/>
            </w:tcBorders>
            <w:shd w:val="clear" w:color="auto" w:fill="auto"/>
          </w:tcPr>
          <w:p w14:paraId="2CDBE934" w14:textId="77777777" w:rsidR="00EF4BEC" w:rsidRDefault="009E2ACD">
            <w:pPr>
              <w:rPr>
                <w:rFonts w:cs="Arial"/>
              </w:rPr>
            </w:pPr>
            <w:r>
              <w:rPr>
                <w:rFonts w:cs="Arial"/>
              </w:rPr>
              <w:t>–</w:t>
            </w:r>
          </w:p>
        </w:tc>
        <w:tc>
          <w:tcPr>
            <w:tcW w:w="810" w:type="dxa"/>
            <w:tcBorders>
              <w:bottom w:val="single" w:sz="4" w:space="0" w:color="auto"/>
            </w:tcBorders>
            <w:shd w:val="clear" w:color="auto" w:fill="auto"/>
          </w:tcPr>
          <w:p w14:paraId="0B8E36DA" w14:textId="77777777" w:rsidR="00EF4BEC" w:rsidRDefault="009E2ACD">
            <w:pPr>
              <w:rPr>
                <w:rFonts w:cs="Arial"/>
              </w:rPr>
            </w:pPr>
            <w:r>
              <w:rPr>
                <w:rFonts w:cs="Arial"/>
              </w:rPr>
              <w:t>–</w:t>
            </w:r>
          </w:p>
        </w:tc>
        <w:tc>
          <w:tcPr>
            <w:tcW w:w="2053" w:type="dxa"/>
            <w:gridSpan w:val="2"/>
            <w:tcBorders>
              <w:bottom w:val="single" w:sz="4" w:space="0" w:color="auto"/>
            </w:tcBorders>
            <w:shd w:val="clear" w:color="auto" w:fill="auto"/>
          </w:tcPr>
          <w:p w14:paraId="69DAFD31" w14:textId="77777777" w:rsidR="00EF4BEC" w:rsidRDefault="009E2ACD">
            <w:pPr>
              <w:rPr>
                <w:rFonts w:cs="Arial"/>
              </w:rPr>
            </w:pPr>
            <w:r>
              <w:rPr>
                <w:rFonts w:cs="Arial"/>
              </w:rPr>
              <w:t>AB</w:t>
            </w:r>
          </w:p>
        </w:tc>
      </w:tr>
    </w:tbl>
    <w:p w14:paraId="0390D129" w14:textId="77777777" w:rsidR="00EF4BEC" w:rsidRDefault="009E2ACD">
      <w:pPr>
        <w:tabs>
          <w:tab w:val="left" w:pos="1134"/>
        </w:tabs>
        <w:ind w:left="851" w:firstLine="2"/>
        <w:rPr>
          <w:rFonts w:cs="Arial"/>
          <w:lang w:val="it-IT"/>
        </w:rPr>
      </w:pPr>
      <w:r>
        <w:rPr>
          <w:rFonts w:cs="Arial"/>
          <w:lang w:val="it-IT"/>
        </w:rPr>
        <w:br/>
        <w:t>*</w:t>
      </w:r>
      <w:r>
        <w:rPr>
          <w:rFonts w:cs="Arial"/>
          <w:lang w:val="it-IT"/>
        </w:rPr>
        <w:tab/>
        <w:t>Facoltativo</w:t>
      </w:r>
    </w:p>
    <w:p w14:paraId="65B4BC60" w14:textId="077210A7" w:rsidR="00EF4BEC" w:rsidRDefault="009E2ACD" w:rsidP="00B83906">
      <w:pPr>
        <w:pStyle w:val="berschrift3"/>
      </w:pPr>
      <w:bookmarkStart w:id="33" w:name="_Toc161749099"/>
      <w:r>
        <w:t>Risultato e interpretazione della determinazione dell’antigene RH1</w:t>
      </w:r>
      <w:bookmarkEnd w:id="33"/>
    </w:p>
    <w:p w14:paraId="61ABAEB3" w14:textId="4D5A3F28" w:rsidR="00EF4BEC" w:rsidRDefault="009E2ACD">
      <w:pPr>
        <w:pStyle w:val="AufzhlungPunkt"/>
      </w:pPr>
      <w:r>
        <w:t>I risultati della determinazione dell’antigene RH1 e la loro interpretazione figurano nella tabella 5.1.3.</w:t>
      </w:r>
    </w:p>
    <w:p w14:paraId="125A0496" w14:textId="1A35AD36" w:rsidR="00EF4BEC" w:rsidRDefault="009E2ACD">
      <w:pPr>
        <w:pStyle w:val="AufzhlungPunkt"/>
      </w:pPr>
      <w:r>
        <w:t>In caso di divergenze o dubbi, l’antigene RH1 non può essere interpretato. È necessario procedere a ulteriori indagini (vedi § 11).</w:t>
      </w:r>
    </w:p>
    <w:p w14:paraId="226EB620" w14:textId="1842B5A1" w:rsidR="00EF4BEC" w:rsidRDefault="009E2ACD">
      <w:pPr>
        <w:pStyle w:val="AufzhlungPunkt"/>
      </w:pPr>
      <w:r>
        <w:t xml:space="preserve">Se la prima determinazione dell’antigene RH1 è stata svolta attraverso la genetica molecolare, la seconda determinazione può essere realizzata in sierologia. Il risultato della </w:t>
      </w:r>
      <w:r>
        <w:lastRenderedPageBreak/>
        <w:t>determinazione sierologica deve essere compatibile con il risultato della prima determinazione.</w:t>
      </w:r>
    </w:p>
    <w:p w14:paraId="0C4DB5FB" w14:textId="1F942D4E" w:rsidR="00EF4BEC" w:rsidRDefault="009E2ACD">
      <w:pPr>
        <w:pStyle w:val="AufzhlungPunkt"/>
      </w:pPr>
      <w:r>
        <w:t xml:space="preserve">Nell’individuazione genotipica degli alleli </w:t>
      </w:r>
      <w:r>
        <w:rPr>
          <w:i/>
        </w:rPr>
        <w:t>RHD*01W.1 (RHD* D weak type 1, RHD*01W.2 (RHD*weak D type 2), RHD*01W.3 (RHD*weak D type 3)</w:t>
      </w:r>
      <w:r>
        <w:t xml:space="preserve"> e </w:t>
      </w:r>
      <w:r>
        <w:rPr>
          <w:i/>
        </w:rPr>
        <w:t>RHD*09.04 (RHD*weak D type 4.1, RHD*DAR4)</w:t>
      </w:r>
      <w:r>
        <w:t xml:space="preserve"> il paziente è considerato RH1 positivo, tutte le altre varianti di RH1 sono considerate RH1 negative. In mancanza di una chiara evidenza raccomandiamo per il momento di considerare i pazienti con </w:t>
      </w:r>
      <w:r>
        <w:rPr>
          <w:i/>
        </w:rPr>
        <w:t>RHD*09.03.01 (RHD*weak D type 4.0, RHD*DAR3.1)</w:t>
      </w:r>
      <w:r w:rsidR="00991D46">
        <w:t xml:space="preserve"> come RH1 negativi </w:t>
      </w:r>
      <w:r w:rsidR="00991D46">
        <w:fldChar w:fldCharType="begin"/>
      </w:r>
      <w:r w:rsidR="00991D46">
        <w:instrText xml:space="preserve"> ADDIN ZOTERO_ITEM CSL_CITATION {"citationID":"MBHGU2Ex","properties":{"formattedCitation":"[15], [16]","plainCitation":"[15], [16]","noteIndex":0},"citationItems":[{"id":5391,"uris":["http://zotero.org/groups/969572/items/X5B339ZQ"],"uri":["http://zotero.org/groups/969572/items/X5B339ZQ"],"itemData":{"id":5391,"type":"article-journal","container-title":"Transfusion","DOI":"doi: 10.1111/trf.15741","page":"60(4):855-859","title":"Experience with RHD*weak D type 4.0 in the USA","author":[{"literal":"Flegel W A"}],"issued":{"date-parts":[["2020",3,12]]}}},{"id":5401,"uris":["http://zotero.org/groups/969572/items/9A5TF5MH"],"uri":["http://zotero.org/groups/969572/items/9A5TF5MH"],"itemData":{"id":5401,"type":"article-journal","container-title":"Transfusion","DOI":"10.1111","page":"855-859","title":"It's time to phase out \"serologic weak D phenotype\" and resolve D types with RHD genotyping including weak D type 4","volume":"60(4)","author":[{"literal":"Willy A Flegel, Gregory A Denomme, John T Queenan, Susan T Johnson, Margaret A Keller, Connie M Westhoff, Louis M Katz, Meghan Delaney, Ralph R Vassallo, Clayton D Simon, S Gerald Sandler"}],"issued":{"date-parts":[["2020",3,12]]}}}],"schema":"https://github.com/citation-style-language/schema/raw/master/csl-citation.json"} </w:instrText>
      </w:r>
      <w:r w:rsidR="00991D46">
        <w:fldChar w:fldCharType="separate"/>
      </w:r>
      <w:r w:rsidR="00991D46" w:rsidRPr="00991D46">
        <w:t>[15], [16]</w:t>
      </w:r>
      <w:r w:rsidR="00991D46">
        <w:fldChar w:fldCharType="end"/>
      </w:r>
      <w:r w:rsidR="00991D46">
        <w:t>.</w:t>
      </w:r>
    </w:p>
    <w:p w14:paraId="1C4B152F" w14:textId="77777777" w:rsidR="00EF4BEC" w:rsidRDefault="009E2ACD">
      <w:pPr>
        <w:rPr>
          <w:rFonts w:cs="Arial"/>
          <w:lang w:val="it-IT"/>
        </w:rPr>
      </w:pPr>
      <w:r>
        <w:rPr>
          <w:rFonts w:cs="Arial"/>
          <w:lang w:val="it-IT"/>
        </w:rPr>
        <w:t>Tabella 5.1.3 Risultati dei test e interpretazione della determinazione dell’antigene RH1 (RhD)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20"/>
        <w:gridCol w:w="1789"/>
        <w:gridCol w:w="3033"/>
      </w:tblGrid>
      <w:tr w:rsidR="00EF4BEC" w14:paraId="1EBE556F" w14:textId="77777777">
        <w:tc>
          <w:tcPr>
            <w:tcW w:w="5318" w:type="dxa"/>
            <w:gridSpan w:val="3"/>
            <w:shd w:val="clear" w:color="auto" w:fill="D9D9D9" w:themeFill="background1" w:themeFillShade="D9"/>
          </w:tcPr>
          <w:p w14:paraId="07786BFE" w14:textId="77777777" w:rsidR="00EF4BEC" w:rsidRDefault="009E2ACD">
            <w:pPr>
              <w:rPr>
                <w:rFonts w:cs="Arial"/>
                <w:b/>
                <w:lang w:val="it-IT"/>
              </w:rPr>
            </w:pPr>
            <w:r>
              <w:rPr>
                <w:rFonts w:cs="Arial"/>
                <w:b/>
                <w:lang w:val="it-IT"/>
              </w:rPr>
              <w:t>Agglutinazione degli eritrociti del paziente con</w:t>
            </w:r>
          </w:p>
        </w:tc>
        <w:tc>
          <w:tcPr>
            <w:tcW w:w="3033" w:type="dxa"/>
            <w:shd w:val="clear" w:color="auto" w:fill="D9D9D9" w:themeFill="background1" w:themeFillShade="D9"/>
          </w:tcPr>
          <w:p w14:paraId="31D3A06D" w14:textId="77777777" w:rsidR="00EF4BEC" w:rsidRDefault="009E2ACD">
            <w:pPr>
              <w:rPr>
                <w:rFonts w:cs="Arial"/>
                <w:b/>
              </w:rPr>
            </w:pPr>
            <w:r>
              <w:rPr>
                <w:rFonts w:cs="Arial"/>
                <w:b/>
              </w:rPr>
              <w:t>Interpretazione RH1 (RhD)</w:t>
            </w:r>
          </w:p>
        </w:tc>
      </w:tr>
      <w:tr w:rsidR="00EF4BEC" w:rsidRPr="00654E10" w14:paraId="23F6A836" w14:textId="77777777">
        <w:tc>
          <w:tcPr>
            <w:tcW w:w="1809" w:type="dxa"/>
            <w:shd w:val="clear" w:color="auto" w:fill="auto"/>
          </w:tcPr>
          <w:p w14:paraId="06E04304" w14:textId="1158A755" w:rsidR="00EF4BEC" w:rsidRDefault="009E2ACD">
            <w:pPr>
              <w:rPr>
                <w:rFonts w:cs="Arial"/>
                <w:lang w:val="it-IT"/>
              </w:rPr>
            </w:pPr>
            <w:r>
              <w:rPr>
                <w:rFonts w:cs="Arial"/>
                <w:lang w:val="it-IT"/>
              </w:rPr>
              <w:t>un primo siero-test anti-RH1</w:t>
            </w:r>
          </w:p>
        </w:tc>
        <w:tc>
          <w:tcPr>
            <w:tcW w:w="1720" w:type="dxa"/>
            <w:shd w:val="clear" w:color="auto" w:fill="auto"/>
          </w:tcPr>
          <w:p w14:paraId="6477B310" w14:textId="111832BC" w:rsidR="00EF4BEC" w:rsidRDefault="009E2ACD">
            <w:pPr>
              <w:rPr>
                <w:rFonts w:cs="Arial"/>
                <w:lang w:val="it-IT"/>
              </w:rPr>
            </w:pPr>
            <w:r>
              <w:rPr>
                <w:rFonts w:cs="Arial"/>
                <w:lang w:val="it-IT"/>
              </w:rPr>
              <w:t>un secondo siero-test anti-RH1</w:t>
            </w:r>
          </w:p>
        </w:tc>
        <w:tc>
          <w:tcPr>
            <w:tcW w:w="1789" w:type="dxa"/>
            <w:shd w:val="clear" w:color="auto" w:fill="auto"/>
          </w:tcPr>
          <w:p w14:paraId="5F1D5902" w14:textId="77777777" w:rsidR="00EF4BEC" w:rsidRDefault="009E2ACD">
            <w:pPr>
              <w:rPr>
                <w:rFonts w:cs="Arial"/>
                <w:lang w:val="it-IT"/>
              </w:rPr>
            </w:pPr>
            <w:r>
              <w:rPr>
                <w:rFonts w:cs="Arial"/>
                <w:lang w:val="it-IT"/>
              </w:rPr>
              <w:t>un siero di controllo RH</w:t>
            </w:r>
          </w:p>
        </w:tc>
        <w:tc>
          <w:tcPr>
            <w:tcW w:w="3033" w:type="dxa"/>
            <w:shd w:val="clear" w:color="auto" w:fill="auto"/>
          </w:tcPr>
          <w:p w14:paraId="03EC86A9" w14:textId="77777777" w:rsidR="00EF4BEC" w:rsidRDefault="00EF4BEC">
            <w:pPr>
              <w:rPr>
                <w:rFonts w:cs="Arial"/>
                <w:lang w:val="it-IT"/>
              </w:rPr>
            </w:pPr>
          </w:p>
        </w:tc>
      </w:tr>
      <w:tr w:rsidR="00EF4BEC" w14:paraId="18A50045" w14:textId="77777777">
        <w:tc>
          <w:tcPr>
            <w:tcW w:w="1809" w:type="dxa"/>
            <w:shd w:val="clear" w:color="auto" w:fill="auto"/>
          </w:tcPr>
          <w:p w14:paraId="489FD68A" w14:textId="77777777" w:rsidR="00EF4BEC" w:rsidRDefault="009E2ACD">
            <w:pPr>
              <w:rPr>
                <w:rFonts w:cs="Arial"/>
              </w:rPr>
            </w:pPr>
            <w:r>
              <w:rPr>
                <w:rFonts w:cs="Arial"/>
              </w:rPr>
              <w:t>positivo</w:t>
            </w:r>
          </w:p>
        </w:tc>
        <w:tc>
          <w:tcPr>
            <w:tcW w:w="1720" w:type="dxa"/>
            <w:shd w:val="clear" w:color="auto" w:fill="auto"/>
          </w:tcPr>
          <w:p w14:paraId="36F64B71" w14:textId="77777777" w:rsidR="00EF4BEC" w:rsidRDefault="009E2ACD">
            <w:pPr>
              <w:rPr>
                <w:rFonts w:cs="Arial"/>
              </w:rPr>
            </w:pPr>
            <w:r>
              <w:rPr>
                <w:rFonts w:cs="Arial"/>
              </w:rPr>
              <w:t>positivo</w:t>
            </w:r>
          </w:p>
        </w:tc>
        <w:tc>
          <w:tcPr>
            <w:tcW w:w="1789" w:type="dxa"/>
            <w:shd w:val="clear" w:color="auto" w:fill="auto"/>
          </w:tcPr>
          <w:p w14:paraId="21B909B1" w14:textId="77777777" w:rsidR="00EF4BEC" w:rsidRDefault="009E2ACD">
            <w:pPr>
              <w:rPr>
                <w:rFonts w:cs="Arial"/>
              </w:rPr>
            </w:pPr>
            <w:r>
              <w:rPr>
                <w:rFonts w:cs="Arial"/>
              </w:rPr>
              <w:t>negativo</w:t>
            </w:r>
          </w:p>
        </w:tc>
        <w:tc>
          <w:tcPr>
            <w:tcW w:w="3033" w:type="dxa"/>
            <w:shd w:val="clear" w:color="auto" w:fill="auto"/>
          </w:tcPr>
          <w:p w14:paraId="52B58465" w14:textId="77777777" w:rsidR="00EF4BEC" w:rsidRDefault="009E2ACD">
            <w:pPr>
              <w:rPr>
                <w:rFonts w:cs="Arial"/>
              </w:rPr>
            </w:pPr>
            <w:r>
              <w:rPr>
                <w:rFonts w:cs="Arial"/>
              </w:rPr>
              <w:t>positivo</w:t>
            </w:r>
          </w:p>
        </w:tc>
      </w:tr>
      <w:tr w:rsidR="00EF4BEC" w14:paraId="37056544" w14:textId="77777777">
        <w:tc>
          <w:tcPr>
            <w:tcW w:w="1809" w:type="dxa"/>
            <w:shd w:val="clear" w:color="auto" w:fill="auto"/>
          </w:tcPr>
          <w:p w14:paraId="0D0807EC" w14:textId="77777777" w:rsidR="00EF4BEC" w:rsidRDefault="009E2ACD">
            <w:pPr>
              <w:rPr>
                <w:rFonts w:cs="Arial"/>
              </w:rPr>
            </w:pPr>
            <w:r>
              <w:rPr>
                <w:rFonts w:cs="Arial"/>
              </w:rPr>
              <w:t>negativo</w:t>
            </w:r>
          </w:p>
        </w:tc>
        <w:tc>
          <w:tcPr>
            <w:tcW w:w="1720" w:type="dxa"/>
            <w:shd w:val="clear" w:color="auto" w:fill="auto"/>
          </w:tcPr>
          <w:p w14:paraId="0824ACB3" w14:textId="77777777" w:rsidR="00EF4BEC" w:rsidRDefault="009E2ACD">
            <w:pPr>
              <w:rPr>
                <w:rFonts w:cs="Arial"/>
              </w:rPr>
            </w:pPr>
            <w:r>
              <w:rPr>
                <w:rFonts w:cs="Arial"/>
              </w:rPr>
              <w:t>negativo</w:t>
            </w:r>
          </w:p>
        </w:tc>
        <w:tc>
          <w:tcPr>
            <w:tcW w:w="1789" w:type="dxa"/>
            <w:shd w:val="clear" w:color="auto" w:fill="auto"/>
          </w:tcPr>
          <w:p w14:paraId="0201F8D7" w14:textId="77777777" w:rsidR="00EF4BEC" w:rsidRDefault="009E2ACD">
            <w:pPr>
              <w:rPr>
                <w:rFonts w:cs="Arial"/>
              </w:rPr>
            </w:pPr>
            <w:r>
              <w:rPr>
                <w:rFonts w:cs="Arial"/>
              </w:rPr>
              <w:t>negativo</w:t>
            </w:r>
          </w:p>
        </w:tc>
        <w:tc>
          <w:tcPr>
            <w:tcW w:w="3033" w:type="dxa"/>
            <w:shd w:val="clear" w:color="auto" w:fill="auto"/>
          </w:tcPr>
          <w:p w14:paraId="20B41138" w14:textId="77777777" w:rsidR="00EF4BEC" w:rsidRDefault="009E2ACD">
            <w:pPr>
              <w:rPr>
                <w:rFonts w:cs="Arial"/>
              </w:rPr>
            </w:pPr>
            <w:r>
              <w:rPr>
                <w:rFonts w:cs="Arial"/>
              </w:rPr>
              <w:t>negativo</w:t>
            </w:r>
          </w:p>
        </w:tc>
      </w:tr>
      <w:tr w:rsidR="00EF4BEC" w:rsidRPr="00654E10" w14:paraId="2C5C5431" w14:textId="77777777">
        <w:tc>
          <w:tcPr>
            <w:tcW w:w="1809" w:type="dxa"/>
            <w:shd w:val="clear" w:color="auto" w:fill="auto"/>
          </w:tcPr>
          <w:p w14:paraId="650ABCF7" w14:textId="231ABDFD" w:rsidR="00EF4BEC" w:rsidRDefault="009E2ACD">
            <w:pPr>
              <w:rPr>
                <w:rFonts w:cs="Arial"/>
              </w:rPr>
            </w:pPr>
            <w:r>
              <w:rPr>
                <w:rFonts w:cs="Arial"/>
              </w:rPr>
              <w:t>debolmente pos.</w:t>
            </w:r>
            <w:r w:rsidR="000E7A70">
              <w:rPr>
                <w:rFonts w:cs="Arial"/>
              </w:rPr>
              <w:t>/indebolito</w:t>
            </w:r>
          </w:p>
        </w:tc>
        <w:tc>
          <w:tcPr>
            <w:tcW w:w="1720" w:type="dxa"/>
            <w:shd w:val="clear" w:color="auto" w:fill="auto"/>
          </w:tcPr>
          <w:p w14:paraId="680032B5" w14:textId="6B148DA2" w:rsidR="00EF4BEC" w:rsidRDefault="009E2ACD">
            <w:pPr>
              <w:rPr>
                <w:rFonts w:cs="Arial"/>
              </w:rPr>
            </w:pPr>
            <w:r>
              <w:rPr>
                <w:rFonts w:cs="Arial"/>
              </w:rPr>
              <w:t>debolmente pos.</w:t>
            </w:r>
            <w:r w:rsidR="000E7A70">
              <w:rPr>
                <w:rFonts w:cs="Arial"/>
              </w:rPr>
              <w:t>/indebolito</w:t>
            </w:r>
          </w:p>
        </w:tc>
        <w:tc>
          <w:tcPr>
            <w:tcW w:w="1789" w:type="dxa"/>
            <w:shd w:val="clear" w:color="auto" w:fill="auto"/>
          </w:tcPr>
          <w:p w14:paraId="6AA647EE" w14:textId="77777777" w:rsidR="00EF4BEC" w:rsidRDefault="009E2ACD">
            <w:pPr>
              <w:rPr>
                <w:rFonts w:cs="Arial"/>
              </w:rPr>
            </w:pPr>
            <w:r>
              <w:rPr>
                <w:rFonts w:cs="Arial"/>
              </w:rPr>
              <w:t>negativo</w:t>
            </w:r>
          </w:p>
        </w:tc>
        <w:tc>
          <w:tcPr>
            <w:tcW w:w="3033" w:type="dxa"/>
            <w:shd w:val="clear" w:color="auto" w:fill="auto"/>
          </w:tcPr>
          <w:p w14:paraId="0822712C" w14:textId="77777777" w:rsidR="00EF4BEC" w:rsidRDefault="009E2ACD">
            <w:pPr>
              <w:rPr>
                <w:rFonts w:cs="Arial"/>
                <w:lang w:val="en-US"/>
              </w:rPr>
            </w:pPr>
            <w:r>
              <w:rPr>
                <w:lang w:val="en-US"/>
              </w:rPr>
              <w:t>RH:W1</w:t>
            </w:r>
            <w:r>
              <w:rPr>
                <w:lang w:val="en-US" w:eastAsia="de-DE"/>
              </w:rPr>
              <w:t>/</w:t>
            </w:r>
            <w:r>
              <w:rPr>
                <w:lang w:val="en-US"/>
              </w:rPr>
              <w:t>RH:P1*</w:t>
            </w:r>
            <w:r>
              <w:rPr>
                <w:lang w:val="en-US" w:eastAsia="de-DE"/>
              </w:rPr>
              <w:t xml:space="preserve"> (weak D / RhD partial</w:t>
            </w:r>
          </w:p>
        </w:tc>
      </w:tr>
      <w:tr w:rsidR="00EF4BEC" w:rsidRPr="00804081" w14:paraId="373F9C95" w14:textId="77777777">
        <w:tc>
          <w:tcPr>
            <w:tcW w:w="1809" w:type="dxa"/>
            <w:shd w:val="clear" w:color="auto" w:fill="auto"/>
          </w:tcPr>
          <w:p w14:paraId="6D169FE8" w14:textId="77777777" w:rsidR="00EF4BEC" w:rsidRDefault="009E2ACD">
            <w:pPr>
              <w:rPr>
                <w:rFonts w:cs="Arial"/>
              </w:rPr>
            </w:pPr>
            <w:r>
              <w:rPr>
                <w:rFonts w:cs="Arial"/>
              </w:rPr>
              <w:t>XX**</w:t>
            </w:r>
          </w:p>
        </w:tc>
        <w:tc>
          <w:tcPr>
            <w:tcW w:w="1720" w:type="dxa"/>
            <w:shd w:val="clear" w:color="auto" w:fill="auto"/>
          </w:tcPr>
          <w:p w14:paraId="18018BC2" w14:textId="77777777" w:rsidR="00EF4BEC" w:rsidRDefault="009E2ACD">
            <w:pPr>
              <w:rPr>
                <w:rFonts w:cs="Arial"/>
              </w:rPr>
            </w:pPr>
            <w:r>
              <w:rPr>
                <w:rFonts w:cs="Arial"/>
              </w:rPr>
              <w:t>XX**</w:t>
            </w:r>
          </w:p>
        </w:tc>
        <w:tc>
          <w:tcPr>
            <w:tcW w:w="1789" w:type="dxa"/>
            <w:shd w:val="clear" w:color="auto" w:fill="auto"/>
          </w:tcPr>
          <w:p w14:paraId="0E5B4A5A" w14:textId="77777777" w:rsidR="00EF4BEC" w:rsidRDefault="009E2ACD">
            <w:pPr>
              <w:rPr>
                <w:rFonts w:cs="Arial"/>
              </w:rPr>
            </w:pPr>
            <w:r>
              <w:rPr>
                <w:rFonts w:cs="Arial"/>
              </w:rPr>
              <w:t>negativo</w:t>
            </w:r>
          </w:p>
        </w:tc>
        <w:tc>
          <w:tcPr>
            <w:tcW w:w="3033" w:type="dxa"/>
            <w:shd w:val="clear" w:color="auto" w:fill="auto"/>
          </w:tcPr>
          <w:p w14:paraId="5F400D00" w14:textId="685F1B61" w:rsidR="00EF4BEC" w:rsidRDefault="009E2ACD">
            <w:pPr>
              <w:rPr>
                <w:rFonts w:cs="Arial"/>
                <w:lang w:val="en-US"/>
              </w:rPr>
            </w:pPr>
            <w:r>
              <w:rPr>
                <w:lang w:val="en-US"/>
              </w:rPr>
              <w:t>RH:W1</w:t>
            </w:r>
            <w:r>
              <w:rPr>
                <w:lang w:val="en-US" w:eastAsia="de-DE"/>
              </w:rPr>
              <w:t>/</w:t>
            </w:r>
            <w:r>
              <w:rPr>
                <w:lang w:val="en-US"/>
              </w:rPr>
              <w:t>RH:P1*</w:t>
            </w:r>
          </w:p>
        </w:tc>
      </w:tr>
      <w:tr w:rsidR="00EF4BEC" w14:paraId="5C1CC3E2" w14:textId="77777777">
        <w:tc>
          <w:tcPr>
            <w:tcW w:w="1809" w:type="dxa"/>
            <w:shd w:val="clear" w:color="auto" w:fill="auto"/>
          </w:tcPr>
          <w:p w14:paraId="1E66C2F8" w14:textId="77777777" w:rsidR="00EF4BEC" w:rsidRDefault="009E2ACD">
            <w:pPr>
              <w:rPr>
                <w:rFonts w:cs="Arial"/>
              </w:rPr>
            </w:pPr>
            <w:r>
              <w:rPr>
                <w:rFonts w:cs="Arial"/>
              </w:rPr>
              <w:t>neg./pos.</w:t>
            </w:r>
          </w:p>
        </w:tc>
        <w:tc>
          <w:tcPr>
            <w:tcW w:w="1720" w:type="dxa"/>
            <w:shd w:val="clear" w:color="auto" w:fill="auto"/>
          </w:tcPr>
          <w:p w14:paraId="67525877" w14:textId="77777777" w:rsidR="00EF4BEC" w:rsidRDefault="009E2ACD">
            <w:pPr>
              <w:rPr>
                <w:rFonts w:cs="Arial"/>
              </w:rPr>
            </w:pPr>
            <w:r>
              <w:rPr>
                <w:rFonts w:cs="Arial"/>
              </w:rPr>
              <w:t>neg./pos.</w:t>
            </w:r>
          </w:p>
        </w:tc>
        <w:tc>
          <w:tcPr>
            <w:tcW w:w="1789" w:type="dxa"/>
            <w:shd w:val="clear" w:color="auto" w:fill="auto"/>
          </w:tcPr>
          <w:p w14:paraId="5D18CC28" w14:textId="77777777" w:rsidR="00EF4BEC" w:rsidRDefault="009E2ACD">
            <w:pPr>
              <w:rPr>
                <w:rFonts w:cs="Arial"/>
              </w:rPr>
            </w:pPr>
            <w:r>
              <w:rPr>
                <w:rFonts w:cs="Arial"/>
              </w:rPr>
              <w:t xml:space="preserve">positivo </w:t>
            </w:r>
          </w:p>
        </w:tc>
        <w:tc>
          <w:tcPr>
            <w:tcW w:w="3033" w:type="dxa"/>
            <w:shd w:val="clear" w:color="auto" w:fill="auto"/>
          </w:tcPr>
          <w:p w14:paraId="1B5D0F32" w14:textId="77777777" w:rsidR="00EF4BEC" w:rsidRDefault="009E2ACD">
            <w:pPr>
              <w:rPr>
                <w:rFonts w:cs="Arial"/>
              </w:rPr>
            </w:pPr>
            <w:r>
              <w:rPr>
                <w:rFonts w:cs="Arial"/>
              </w:rPr>
              <w:t>indeterminabile, da chiarire</w:t>
            </w:r>
          </w:p>
        </w:tc>
      </w:tr>
    </w:tbl>
    <w:p w14:paraId="5693A352" w14:textId="28F8D479" w:rsidR="00EF4BEC" w:rsidRDefault="009E2ACD">
      <w:pPr>
        <w:tabs>
          <w:tab w:val="left" w:pos="851"/>
          <w:tab w:val="left" w:pos="1418"/>
        </w:tabs>
        <w:rPr>
          <w:rFonts w:cs="Arial"/>
          <w:lang w:val="it-IT"/>
        </w:rPr>
      </w:pPr>
      <w:r>
        <w:rPr>
          <w:rFonts w:cs="Arial"/>
          <w:lang w:val="it-IT"/>
        </w:rPr>
        <w:tab/>
        <w:t>*</w:t>
      </w:r>
      <w:r>
        <w:rPr>
          <w:rFonts w:cs="Arial"/>
          <w:lang w:val="it-IT"/>
        </w:rPr>
        <w:tab/>
        <w:t xml:space="preserve">Raccomandazioni trasfusionali e gravidanza: vedi § 7.1 e § 8.1.2. In circa l’80% dei </w:t>
      </w:r>
      <w:r>
        <w:rPr>
          <w:rFonts w:cs="Arial"/>
          <w:lang w:val="it-IT"/>
        </w:rPr>
        <w:tab/>
      </w:r>
      <w:r>
        <w:rPr>
          <w:rFonts w:cs="Arial"/>
          <w:lang w:val="it-IT"/>
        </w:rPr>
        <w:tab/>
        <w:t xml:space="preserve">casi di RH:W1 (weak D) si tratta di </w:t>
      </w:r>
      <w:r>
        <w:rPr>
          <w:rFonts w:cs="Arial"/>
          <w:i/>
          <w:lang w:val="it-IT"/>
        </w:rPr>
        <w:t xml:space="preserve">RHD*01W.1, RHD*01W.2 </w:t>
      </w:r>
      <w:r>
        <w:rPr>
          <w:rFonts w:cs="Arial"/>
          <w:i/>
          <w:lang w:val="it-IT"/>
        </w:rPr>
        <w:tab/>
      </w:r>
      <w:r>
        <w:rPr>
          <w:rFonts w:cs="Arial"/>
          <w:i/>
          <w:lang w:val="it-IT"/>
        </w:rPr>
        <w:tab/>
      </w:r>
      <w:r>
        <w:rPr>
          <w:rFonts w:cs="Arial"/>
          <w:lang w:val="it-IT"/>
        </w:rPr>
        <w:t xml:space="preserve">o </w:t>
      </w:r>
      <w:r>
        <w:rPr>
          <w:rFonts w:cs="Arial"/>
          <w:i/>
          <w:lang w:val="it-IT"/>
        </w:rPr>
        <w:t xml:space="preserve">RHD*01W.3 </w:t>
      </w:r>
    </w:p>
    <w:p w14:paraId="78ED620B" w14:textId="77777777" w:rsidR="00EF4BEC" w:rsidRDefault="009E2ACD">
      <w:pPr>
        <w:tabs>
          <w:tab w:val="left" w:pos="851"/>
          <w:tab w:val="left" w:pos="1418"/>
        </w:tabs>
        <w:rPr>
          <w:rFonts w:cs="Arial"/>
          <w:lang w:val="it-IT"/>
        </w:rPr>
      </w:pPr>
      <w:r>
        <w:rPr>
          <w:rFonts w:cs="Arial"/>
          <w:lang w:val="it-IT"/>
        </w:rPr>
        <w:tab/>
        <w:t>**</w:t>
      </w:r>
      <w:r>
        <w:rPr>
          <w:rFonts w:cs="Arial"/>
          <w:lang w:val="it-IT"/>
        </w:rPr>
        <w:tab/>
        <w:t xml:space="preserve">Risultati discrepanti tra i due antisieri utilizzati </w:t>
      </w:r>
    </w:p>
    <w:p w14:paraId="45D7375B" w14:textId="6CFC009E" w:rsidR="00EF4BEC" w:rsidRDefault="009E2ACD" w:rsidP="00B83906">
      <w:pPr>
        <w:pStyle w:val="berschrift3"/>
      </w:pPr>
      <w:bookmarkStart w:id="34" w:name="_Toc161749100"/>
      <w:r>
        <w:t>Controllo antigeni AB/RH1</w:t>
      </w:r>
      <w:bookmarkEnd w:id="34"/>
    </w:p>
    <w:p w14:paraId="6C738588" w14:textId="415963A7" w:rsidR="00EF4BEC" w:rsidRDefault="009E2ACD">
      <w:pPr>
        <w:rPr>
          <w:rFonts w:cs="Arial"/>
          <w:lang w:val="it-IT"/>
        </w:rPr>
      </w:pPr>
      <w:r>
        <w:rPr>
          <w:rFonts w:cs="Arial"/>
          <w:lang w:val="it-IT"/>
        </w:rPr>
        <w:t>Per il controllo degli antigeni AB/RH1 è sufficiente una determinazione con un siero-test anti-A, anti-B e anti-RH1.</w:t>
      </w:r>
    </w:p>
    <w:p w14:paraId="26D6ACB1" w14:textId="1D50D171" w:rsidR="00EF4BEC" w:rsidRDefault="009E2ACD" w:rsidP="00B83906">
      <w:pPr>
        <w:pStyle w:val="berschrift3"/>
      </w:pPr>
      <w:bookmarkStart w:id="35" w:name="_Toc161749101"/>
      <w:r>
        <w:t>Risultato e interpretazione del controllo antigeni AB/RH1</w:t>
      </w:r>
      <w:bookmarkEnd w:id="35"/>
    </w:p>
    <w:p w14:paraId="14ABC690" w14:textId="77777777" w:rsidR="00EF4BEC" w:rsidRDefault="009E2ACD">
      <w:pPr>
        <w:pStyle w:val="AufzhlungPunkt"/>
      </w:pPr>
      <w:r>
        <w:t>I risultati devono concordare con la determinazione completa del gruppo sanguigno documentata.</w:t>
      </w:r>
    </w:p>
    <w:p w14:paraId="1CED4800" w14:textId="0F28FECD" w:rsidR="00EF4BEC" w:rsidRDefault="009E2ACD">
      <w:pPr>
        <w:pStyle w:val="AufzhlungPunkt"/>
      </w:pPr>
      <w:r>
        <w:t>In caso di discordanze o dubbio del risultato del controllo antigeni AB/RH1, si dovrà eseguire una determinazione del gruppo completa di ABO e RH1</w:t>
      </w:r>
      <w:r w:rsidR="00804081">
        <w:t xml:space="preserve"> </w:t>
      </w:r>
      <w:r>
        <w:t xml:space="preserve">su un nuovo prelievo. </w:t>
      </w:r>
    </w:p>
    <w:p w14:paraId="55EFD8A1" w14:textId="77777777" w:rsidR="00EF4BEC" w:rsidRDefault="009E2ACD">
      <w:pPr>
        <w:rPr>
          <w:rFonts w:cs="Arial"/>
          <w:lang w:val="it-IT"/>
        </w:rPr>
      </w:pPr>
      <w:r>
        <w:rPr>
          <w:rFonts w:cs="Arial"/>
          <w:b/>
          <w:lang w:val="it-IT"/>
        </w:rPr>
        <w:t>Osservazione importante:</w:t>
      </w:r>
      <w:r>
        <w:rPr>
          <w:rFonts w:cs="Arial"/>
          <w:lang w:val="it-IT"/>
        </w:rPr>
        <w:t xml:space="preserve"> si devono prendere in considerazione tutti gli errori possibili, in particolare uno scambio di provetta e/o paziente (presente o passato). Siccome diversi pazienti potrebbero essere coinvolti simultaneamente, si dovrà procedere con urgenza al chiarimento del caso e rinviare la distribuzione di ulteriori prodotti sanguigni eventualmente interessati. </w:t>
      </w:r>
    </w:p>
    <w:p w14:paraId="6D566DE7" w14:textId="32C3B971" w:rsidR="00EF4BEC" w:rsidRDefault="009E2ACD">
      <w:pPr>
        <w:pStyle w:val="AufzhlungPunkt"/>
      </w:pPr>
      <w:r>
        <w:t>Una determinazione sierologica negativa in provetta non è contrastante con un noto risultato (chiarito) di RH:W1 (weak D). Un risultato positivo di una determinazione dell’antigene RH1 non è considerato divergente da un risultato negativo documentato prima del 2012 (variante non differenziata RH:W1/RH:P1 [weak D</w:t>
      </w:r>
      <w:r>
        <w:rPr>
          <w:u w:val="single"/>
        </w:rPr>
        <w:t> </w:t>
      </w:r>
      <w:r>
        <w:t>/ partial D]).</w:t>
      </w:r>
    </w:p>
    <w:p w14:paraId="27C339D2" w14:textId="19ADFC05" w:rsidR="00EF4BEC" w:rsidRDefault="009E2ACD" w:rsidP="00B83906">
      <w:pPr>
        <w:pStyle w:val="berschrift2"/>
      </w:pPr>
      <w:bookmarkStart w:id="36" w:name="_Toc161749102"/>
      <w:r>
        <w:t>Fenotipo RH/KEL1 e fenotipo esteso</w:t>
      </w:r>
      <w:bookmarkEnd w:id="36"/>
    </w:p>
    <w:p w14:paraId="078DED5B" w14:textId="4807857F" w:rsidR="00EF4BEC" w:rsidRDefault="009E2ACD" w:rsidP="00B83906">
      <w:pPr>
        <w:pStyle w:val="berschrift3"/>
      </w:pPr>
      <w:bookmarkStart w:id="37" w:name="_Toc161749103"/>
      <w:r>
        <w:t>Determinazione del fenotipo RH/KEL1 e fenotipo esteso</w:t>
      </w:r>
      <w:bookmarkEnd w:id="37"/>
    </w:p>
    <w:p w14:paraId="6AD77B25" w14:textId="57A11499" w:rsidR="00EF4BEC" w:rsidRDefault="009E2ACD">
      <w:pPr>
        <w:pStyle w:val="AufzhlungPunkt"/>
      </w:pPr>
      <w:r>
        <w:t>La determinazione del fenotipo RH/KEL1 comprende gli antigeni RH2 (C), RH3 (E), RH4 (c), RH5 (e) e KEL1 (K).</w:t>
      </w:r>
    </w:p>
    <w:p w14:paraId="679C3865" w14:textId="77777777" w:rsidR="00EF4BEC" w:rsidRDefault="009E2ACD">
      <w:pPr>
        <w:pStyle w:val="AufzhlungPunkt"/>
      </w:pPr>
      <w:r>
        <w:t>Il fenotipo esteso comprende almeno i seguenti antigeni dei gruppi sanguigni: JK1 (Jk</w:t>
      </w:r>
      <w:r>
        <w:rPr>
          <w:vertAlign w:val="superscript"/>
        </w:rPr>
        <w:t>a</w:t>
      </w:r>
      <w:r>
        <w:t>), JK2 (Jk</w:t>
      </w:r>
      <w:r>
        <w:rPr>
          <w:vertAlign w:val="superscript"/>
        </w:rPr>
        <w:t>b</w:t>
      </w:r>
      <w:r>
        <w:t>), FY1 (Fy</w:t>
      </w:r>
      <w:r>
        <w:rPr>
          <w:vertAlign w:val="superscript"/>
        </w:rPr>
        <w:t>a</w:t>
      </w:r>
      <w:r>
        <w:t>), FY2 (Fy</w:t>
      </w:r>
      <w:r>
        <w:rPr>
          <w:vertAlign w:val="superscript"/>
        </w:rPr>
        <w:t>b</w:t>
      </w:r>
      <w:r>
        <w:t>), MNS3 (S) e MNS4 (s).</w:t>
      </w:r>
    </w:p>
    <w:p w14:paraId="6F2C6191" w14:textId="77777777" w:rsidR="00EF4BEC" w:rsidRDefault="009E2ACD">
      <w:pPr>
        <w:rPr>
          <w:lang w:val="it-IT"/>
        </w:rPr>
      </w:pPr>
      <w:r>
        <w:rPr>
          <w:lang w:val="it-IT"/>
        </w:rPr>
        <w:t xml:space="preserve">Il requisito minimo è la determinazione con un solo metodo e un solo siero-test. </w:t>
      </w:r>
    </w:p>
    <w:p w14:paraId="14A7E094" w14:textId="59A01CBA" w:rsidR="00EF4BEC" w:rsidRDefault="009E2ACD" w:rsidP="00B83906">
      <w:pPr>
        <w:pStyle w:val="berschrift3"/>
      </w:pPr>
      <w:bookmarkStart w:id="38" w:name="_Toc161749104"/>
      <w:r>
        <w:lastRenderedPageBreak/>
        <w:t>Risultato e interpretazione del fenotipo RH/</w:t>
      </w:r>
      <w:r w:rsidR="00515E58">
        <w:t xml:space="preserve">KEL1 </w:t>
      </w:r>
      <w:r>
        <w:t>(Rh/K) e di altri antigeni dei gruppi sanguigni</w:t>
      </w:r>
      <w:bookmarkEnd w:id="38"/>
    </w:p>
    <w:p w14:paraId="075F4CA2" w14:textId="77777777" w:rsidR="00EF4BEC" w:rsidRDefault="009E2ACD">
      <w:pPr>
        <w:pStyle w:val="AufzhlungPunkt"/>
      </w:pPr>
      <w:r>
        <w:t>I risultati devono essere chiaramente positivi o negativi.</w:t>
      </w:r>
    </w:p>
    <w:p w14:paraId="6E0BA589" w14:textId="77777777" w:rsidR="00EF4BEC" w:rsidRDefault="009E2ACD">
      <w:pPr>
        <w:pStyle w:val="AufzhlungPunkt"/>
      </w:pPr>
      <w:r>
        <w:t>In caso di divergenze o dubbi, gli antigeni dei gruppi sanguigni non possono essere interpretati. È necessario procedere a ulteriori indagini (vedi § 11).</w:t>
      </w:r>
    </w:p>
    <w:p w14:paraId="4FDA6BEF" w14:textId="77777777" w:rsidR="00EF4BEC" w:rsidRDefault="009E2ACD">
      <w:pPr>
        <w:pStyle w:val="AufzhlungPunkt"/>
      </w:pPr>
      <w:r>
        <w:t>La biologia molecolare può contribuire a determinare i principali antigeni dei gruppi sanguigni nei pazienti trasfusi negli ultimi quattro mesi (vedi § 11).</w:t>
      </w:r>
    </w:p>
    <w:p w14:paraId="096B90B6" w14:textId="77777777" w:rsidR="00EF4BEC" w:rsidRDefault="009E2ACD" w:rsidP="00B83906">
      <w:pPr>
        <w:pStyle w:val="berschrift2"/>
      </w:pPr>
      <w:bookmarkStart w:id="39" w:name="_Toc161749105"/>
      <w:r>
        <w:t>Ricerca e identificazione anticorpi</w:t>
      </w:r>
      <w:bookmarkEnd w:id="39"/>
      <w:r>
        <w:t xml:space="preserve"> </w:t>
      </w:r>
    </w:p>
    <w:p w14:paraId="7E9B4445" w14:textId="77777777" w:rsidR="00EF4BEC" w:rsidRDefault="009E2ACD" w:rsidP="00B83906">
      <w:pPr>
        <w:pStyle w:val="berschrift3"/>
      </w:pPr>
      <w:bookmarkStart w:id="40" w:name="_Toc161749106"/>
      <w:r>
        <w:t>Generalità</w:t>
      </w:r>
      <w:bookmarkEnd w:id="40"/>
    </w:p>
    <w:p w14:paraId="25970713" w14:textId="77777777" w:rsidR="00EF4BEC" w:rsidRDefault="009E2ACD">
      <w:pPr>
        <w:pStyle w:val="AufzhlungPunkt"/>
      </w:pPr>
      <w:r>
        <w:t>L’eventuale presenza di alloanticorpi anti-eritrocitari (o autoanticorpi) viene evidenziata tramite la ricerca anticorpi nel plasma/siero o nell’eluato del paziente.</w:t>
      </w:r>
    </w:p>
    <w:p w14:paraId="2DF72F0F" w14:textId="77777777" w:rsidR="00EF4BEC" w:rsidRDefault="009E2ACD">
      <w:pPr>
        <w:pStyle w:val="AufzhlungPunkt"/>
      </w:pPr>
      <w:r>
        <w:t>In caso di risultato positivo della ricerca, si dovrà procedere all’identificazione degli eventuali alloanticorpi anti-eritrocitari (o autoanticorpi).</w:t>
      </w:r>
    </w:p>
    <w:p w14:paraId="7ED50D0A" w14:textId="77777777" w:rsidR="00EF4BEC" w:rsidRDefault="009E2ACD">
      <w:pPr>
        <w:pStyle w:val="AufzhlungPunkt"/>
      </w:pPr>
      <w:r>
        <w:t>I metodi utilizzati devono permettere di individuare anticorpi a caldo di type IgG.</w:t>
      </w:r>
    </w:p>
    <w:p w14:paraId="4E623A7C" w14:textId="77777777" w:rsidR="00EF4BEC" w:rsidRDefault="009E2ACD" w:rsidP="00B83906">
      <w:pPr>
        <w:pStyle w:val="berschrift3"/>
      </w:pPr>
      <w:bookmarkStart w:id="41" w:name="_Toc161749107"/>
      <w:r>
        <w:t>Metodi per la ricerca e l’identificazione di anticorpi</w:t>
      </w:r>
      <w:bookmarkEnd w:id="41"/>
    </w:p>
    <w:p w14:paraId="296A78A5" w14:textId="77777777" w:rsidR="00EF4BEC" w:rsidRDefault="009E2ACD">
      <w:pPr>
        <w:pStyle w:val="AufzhlungPunkt"/>
      </w:pPr>
      <w:r>
        <w:t>Il metodo di riferimento è il test di Coombs indiretto (IAT) in provetta a 2 fasi con antiglobuline umane mono- o polispecifiche.</w:t>
      </w:r>
    </w:p>
    <w:p w14:paraId="74A3245C" w14:textId="77777777" w:rsidR="00EF4BEC" w:rsidRDefault="009E2ACD">
      <w:pPr>
        <w:pStyle w:val="AufzhlungPunkt"/>
      </w:pPr>
      <w:r>
        <w:t>Il plasma/siero del paziente o l’eluato devono essere analizzati a 37 °C con eritrociti-test di gruppo O con modelli di antigeni noti (vedi anche § 3.1.3).</w:t>
      </w:r>
    </w:p>
    <w:p w14:paraId="55E6D2FD" w14:textId="203F7EB8" w:rsidR="00737901" w:rsidRDefault="00737901" w:rsidP="00737901">
      <w:pPr>
        <w:pStyle w:val="AufzhlungPunkt"/>
      </w:pPr>
      <w:r w:rsidRPr="0021059F">
        <w:t xml:space="preserve">la sensibilità e la specificità sono verificate tramite un anti-RH1 debole </w:t>
      </w:r>
      <w:r w:rsidR="00991D46">
        <w:t>(</w:t>
      </w:r>
      <w:r w:rsidRPr="0021059F">
        <w:t xml:space="preserve">concentrazione </w:t>
      </w:r>
      <w:r>
        <w:t xml:space="preserve">massima </w:t>
      </w:r>
      <w:r w:rsidRPr="0021059F">
        <w:t>di ≤20 ng anti-RH1 / ml (</w:t>
      </w:r>
      <w:r w:rsidRPr="00047D06">
        <w:t>0,1 UI/ml</w:t>
      </w:r>
      <w:r w:rsidRPr="0021059F">
        <w:t>)</w:t>
      </w:r>
      <w:r w:rsidR="00991D46">
        <w:t>)</w:t>
      </w:r>
      <w:r w:rsidRPr="0021059F">
        <w:t xml:space="preserve"> </w:t>
      </w:r>
      <w:r w:rsidR="00991D46">
        <w:fldChar w:fldCharType="begin"/>
      </w:r>
      <w:r w:rsidR="00991D46">
        <w:instrText xml:space="preserve"> ADDIN ZOTERO_ITEM CSL_CITATION {"citationID":"gtQSMImY","properties":{"formattedCitation":"[10]","plainCitation":"[10]","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schema":"https://github.com/citation-style-language/schema/raw/master/csl-citation.json"} </w:instrText>
      </w:r>
      <w:r w:rsidR="00991D46">
        <w:fldChar w:fldCharType="separate"/>
      </w:r>
      <w:r w:rsidR="00991D46" w:rsidRPr="00991D46">
        <w:t>[10]</w:t>
      </w:r>
      <w:r w:rsidR="00991D46">
        <w:fldChar w:fldCharType="end"/>
      </w:r>
      <w:r w:rsidR="00991D46">
        <w:t>.</w:t>
      </w:r>
    </w:p>
    <w:p w14:paraId="4E41A1CE" w14:textId="77777777" w:rsidR="00EF4BEC" w:rsidRDefault="009E2ACD">
      <w:pPr>
        <w:pStyle w:val="AufzhlungPunkt"/>
      </w:pPr>
      <w:r>
        <w:t>Non sono obbligatorie ulteriori tecniche d’analisi, come ad esempio la tecnica enzimatica.</w:t>
      </w:r>
    </w:p>
    <w:p w14:paraId="46E9324E" w14:textId="17C3C0E9" w:rsidR="00EF4BEC" w:rsidRDefault="009E2ACD">
      <w:pPr>
        <w:pStyle w:val="AufzhlungPunkt"/>
      </w:pPr>
      <w:r>
        <w:t>Si raccomanda al laboratorio che esegue l’identificazione degli anticorpi di effettuare almeno un controllo degli antigeni AB/RH1 sul campione usato.</w:t>
      </w:r>
    </w:p>
    <w:p w14:paraId="7B3BA556" w14:textId="77777777" w:rsidR="00EF4BEC" w:rsidRDefault="009E2ACD" w:rsidP="00B83906">
      <w:pPr>
        <w:pStyle w:val="berschrift3"/>
      </w:pPr>
      <w:bookmarkStart w:id="42" w:name="_Toc161749108"/>
      <w:r>
        <w:t>Risultati della ricerca anticorpi</w:t>
      </w:r>
      <w:bookmarkEnd w:id="42"/>
    </w:p>
    <w:p w14:paraId="3A42CDA0" w14:textId="77777777" w:rsidR="00EF4BEC" w:rsidRDefault="009E2ACD">
      <w:pPr>
        <w:pStyle w:val="AufzhlungPunkt"/>
      </w:pPr>
      <w:r>
        <w:t>Se la RAI risulta negativa non sono necessari ulteriori esami.</w:t>
      </w:r>
    </w:p>
    <w:p w14:paraId="2FD756DB" w14:textId="77777777" w:rsidR="00EF4BEC" w:rsidRDefault="009E2ACD">
      <w:pPr>
        <w:pStyle w:val="AufzhlungPunkt"/>
      </w:pPr>
      <w:r>
        <w:t>Se la RAI risulta positiva è necessario chiarire il motivo del risultato positivo (alloanticorpi, autoanticorpi, anti-CD38, LISS, ecc.).</w:t>
      </w:r>
    </w:p>
    <w:p w14:paraId="732BE054" w14:textId="77777777" w:rsidR="00EF4BEC" w:rsidRDefault="009E2ACD" w:rsidP="00B83906">
      <w:pPr>
        <w:pStyle w:val="berschrift3"/>
      </w:pPr>
      <w:bookmarkStart w:id="43" w:name="_Toc161749109"/>
      <w:r>
        <w:t>Identificazione di anticorpi irregolari</w:t>
      </w:r>
      <w:bookmarkEnd w:id="43"/>
    </w:p>
    <w:p w14:paraId="7549EF5F" w14:textId="77777777" w:rsidR="00EF4BEC" w:rsidRDefault="009E2ACD">
      <w:pPr>
        <w:pStyle w:val="AufzhlungPunkt"/>
      </w:pPr>
      <w:r>
        <w:t>Gli alloanticorpi devono essere identificati, nel limite del possibile, con almeno 2 o ancora meglio 3 cellule positive e 3 cellule negative per gli antigeni corrispondenti.</w:t>
      </w:r>
    </w:p>
    <w:p w14:paraId="30710F44" w14:textId="77777777" w:rsidR="00EF4BEC" w:rsidRDefault="009E2ACD">
      <w:pPr>
        <w:pStyle w:val="AufzhlungPunkt"/>
      </w:pPr>
      <w:r>
        <w:t>La specificità di un alloanticorpo deve essere confermata, se possibile, dimostrando l’assenza dell’antigene corrispondente sugli eritrociti del paziente (eccezione: trasfusioni recenti).</w:t>
      </w:r>
    </w:p>
    <w:p w14:paraId="7C637200" w14:textId="5A464325" w:rsidR="00EF4BEC" w:rsidRDefault="009E2ACD">
      <w:pPr>
        <w:pStyle w:val="AufzhlungPunkt"/>
      </w:pPr>
      <w:r>
        <w:t xml:space="preserve">Gli anticorpi identificati devono essere interpretati in funzione della loro importanza clinica in medicina trasfusionale (vedi § 8.1.3.2) </w:t>
      </w:r>
      <w:r w:rsidR="00991D46">
        <w:fldChar w:fldCharType="begin"/>
      </w:r>
      <w:r w:rsidR="00991D46">
        <w:instrText xml:space="preserve"> ADDIN ZOTERO_ITEM CSL_CITATION {"citationID":"fxS7gPHQ","properties":{"formattedCitation":"[12]","plainCitation":"[12]","noteIndex":0},"citationItems":[{"id":2509,"uris":["http://zotero.org/groups/969572/items/LJRCHVBI"],"uri":["http://zotero.org/groups/969572/items/LJRCHVBI"],"itemData":{"id":2509,"type":"article-journal","container-title":"Vox sanguinis","title":"Pre-transfusion testing","author":[{"family":"White J","given":""}],"issued":{"date-parts":[["2009"]]}}}],"schema":"https://github.com/citation-style-language/schema/raw/master/csl-citation.json"} </w:instrText>
      </w:r>
      <w:r w:rsidR="00991D46">
        <w:fldChar w:fldCharType="separate"/>
      </w:r>
      <w:r w:rsidR="00991D46" w:rsidRPr="00991D46">
        <w:t>[12]</w:t>
      </w:r>
      <w:r w:rsidR="00991D46">
        <w:fldChar w:fldCharType="end"/>
      </w:r>
      <w:r w:rsidR="00991D46">
        <w:t>.</w:t>
      </w:r>
    </w:p>
    <w:p w14:paraId="0E196316" w14:textId="21676AD7" w:rsidR="00EF4BEC" w:rsidRDefault="009E2ACD">
      <w:pPr>
        <w:pStyle w:val="AufzhlungPunkt"/>
      </w:pPr>
      <w:r>
        <w:t>Per gli anticorpi noti, ma non più evidenziabili vedi § 5.5.1 (TC) e § 8.1.3.2 (requisiti minimi per la scelta di CE in presenza di anticorpi).</w:t>
      </w:r>
      <w:r w:rsidR="00737901">
        <w:t xml:space="preserve"> G</w:t>
      </w:r>
      <w:r w:rsidR="00737901" w:rsidRPr="0021059F">
        <w:t>li anticorpi non rilevanti per la trasfusione, ad esempio gli anti-Bg, non devono essere confermati o esclusi attivamente (per le gravidanze, vedere § 7.1.6).</w:t>
      </w:r>
    </w:p>
    <w:p w14:paraId="7EFB0AD8" w14:textId="67456E5E" w:rsidR="00EF4BEC" w:rsidRDefault="009E2ACD">
      <w:pPr>
        <w:pStyle w:val="AufzhlungPunkt"/>
      </w:pPr>
      <w:r>
        <w:t>Di regola, gli alloanticorpi di specificità Anti-A1, -H1 (H), -H1(I1) (H[I]), -P1PK1 (P1), -LE1 (Le</w:t>
      </w:r>
      <w:r>
        <w:rPr>
          <w:vertAlign w:val="superscript"/>
        </w:rPr>
        <w:t>a</w:t>
      </w:r>
      <w:r>
        <w:t>), -LE2 (Le</w:t>
      </w:r>
      <w:r>
        <w:rPr>
          <w:vertAlign w:val="superscript"/>
        </w:rPr>
        <w:t>b</w:t>
      </w:r>
      <w:r>
        <w:t xml:space="preserve">), -MNS1 (M) e -MNS2 (N) non sono considerati di importanza clinica se reagiscono unicamente a freddo o nel test enzimatico (risultato negativo </w:t>
      </w:r>
      <w:r w:rsidR="00737901">
        <w:t>in NaCl (test salino) a</w:t>
      </w:r>
      <w:r>
        <w:t xml:space="preserve"> 37 °C o con risultato negativo in IAT) (vedi § 8.1.3.2).</w:t>
      </w:r>
    </w:p>
    <w:p w14:paraId="7FDC0816" w14:textId="4BCC6995" w:rsidR="00EF4BEC" w:rsidRDefault="009E2ACD">
      <w:pPr>
        <w:pStyle w:val="AufzhlungPunkt"/>
      </w:pPr>
      <w:r>
        <w:t>Il test enzimatico è un metodo supplementare, usato perlopiù nei laboratori di riferimento. Occasionalmente può portare all’identificazione di anticorpi anti-RH3 (anti-E) o anti-RH8 (anti-C</w:t>
      </w:r>
      <w:r>
        <w:rPr>
          <w:vertAlign w:val="superscript"/>
        </w:rPr>
        <w:t>w</w:t>
      </w:r>
      <w:r>
        <w:t xml:space="preserve">) </w:t>
      </w:r>
      <w:r>
        <w:rPr>
          <w:rFonts w:ascii="Calibri" w:hAnsi="Calibri" w:cs="Calibri"/>
        </w:rPr>
        <w:t>«</w:t>
      </w:r>
      <w:r>
        <w:t>enzyme only</w:t>
      </w:r>
      <w:r>
        <w:rPr>
          <w:rFonts w:ascii="Calibri" w:hAnsi="Calibri" w:cs="Calibri"/>
        </w:rPr>
        <w:t>»</w:t>
      </w:r>
      <w:r>
        <w:t>. In questi casi possono venir liberati CE RH/KEL compatibili secondo la regola del T&amp;S (non è necessario testare l’antigene RH8 [C</w:t>
      </w:r>
      <w:r>
        <w:rPr>
          <w:vertAlign w:val="superscript"/>
        </w:rPr>
        <w:t>w</w:t>
      </w:r>
      <w:r>
        <w:t>]).</w:t>
      </w:r>
    </w:p>
    <w:p w14:paraId="372F2B81" w14:textId="77777777" w:rsidR="00EF4BEC" w:rsidRDefault="009E2ACD">
      <w:pPr>
        <w:pStyle w:val="AufzhlungPunkt"/>
      </w:pPr>
      <w:r>
        <w:t>Nei pazienti trasfusi con risultati non chiari in IAT può essere presa in considerazione una eluizione anche in caso di DAT negativo.</w:t>
      </w:r>
    </w:p>
    <w:p w14:paraId="27A4C2EA" w14:textId="77777777" w:rsidR="00EF4BEC" w:rsidRDefault="009E2ACD">
      <w:pPr>
        <w:pStyle w:val="AufzhlungPunkt"/>
      </w:pPr>
      <w:r>
        <w:lastRenderedPageBreak/>
        <w:t>Per pazienti con autoanticorpi liberi vedi § 9.5.</w:t>
      </w:r>
    </w:p>
    <w:p w14:paraId="76D656AF" w14:textId="77777777" w:rsidR="00EF4BEC" w:rsidRDefault="009E2ACD">
      <w:pPr>
        <w:pStyle w:val="AufzhlungPunkt"/>
      </w:pPr>
      <w:r>
        <w:t>Per pazienti in terapia anti-CD38 vedi § 9.9.</w:t>
      </w:r>
    </w:p>
    <w:p w14:paraId="17C862F3" w14:textId="77777777" w:rsidR="00EF4BEC" w:rsidRDefault="009E2ACD" w:rsidP="00B83906">
      <w:pPr>
        <w:pStyle w:val="berschrift2"/>
      </w:pPr>
      <w:bookmarkStart w:id="44" w:name="_Toc70341191"/>
      <w:bookmarkStart w:id="45" w:name="_Toc70341374"/>
      <w:bookmarkStart w:id="46" w:name="_Toc70341558"/>
      <w:bookmarkStart w:id="47" w:name="_Toc161749110"/>
      <w:bookmarkStart w:id="48" w:name="_Toc74204213"/>
      <w:bookmarkEnd w:id="44"/>
      <w:bookmarkEnd w:id="45"/>
      <w:bookmarkEnd w:id="46"/>
      <w:r>
        <w:t>Test di Coombs diretto ed eluizione</w:t>
      </w:r>
      <w:bookmarkEnd w:id="47"/>
      <w:r>
        <w:t xml:space="preserve"> </w:t>
      </w:r>
      <w:bookmarkEnd w:id="48"/>
    </w:p>
    <w:p w14:paraId="7D88C2FD" w14:textId="77777777" w:rsidR="00EF4BEC" w:rsidRDefault="009E2ACD" w:rsidP="00B83906">
      <w:pPr>
        <w:pStyle w:val="berschrift3"/>
      </w:pPr>
      <w:bookmarkStart w:id="49" w:name="_Toc74204214"/>
      <w:bookmarkStart w:id="50" w:name="_Toc161749111"/>
      <w:r>
        <w:t>Test di Coombs diretto</w:t>
      </w:r>
      <w:bookmarkEnd w:id="49"/>
      <w:bookmarkEnd w:id="50"/>
    </w:p>
    <w:p w14:paraId="02AD6564" w14:textId="77777777" w:rsidR="00EF4BEC" w:rsidRDefault="009E2ACD">
      <w:pPr>
        <w:rPr>
          <w:rFonts w:cs="Arial"/>
          <w:lang w:val="it-IT"/>
        </w:rPr>
      </w:pPr>
      <w:r>
        <w:rPr>
          <w:rFonts w:cs="Arial"/>
          <w:lang w:val="it-IT"/>
        </w:rPr>
        <w:t xml:space="preserve">Il DAT serve a mettere in evidenza anticorpi e fattori del complemento legati in vivo agli eritrociti propri del paziente e/o trasfusi. Il DAT viene svolto preferibilmente con il test di agglutinazione in colonna. </w:t>
      </w:r>
    </w:p>
    <w:p w14:paraId="51175C02" w14:textId="77777777" w:rsidR="00EF4BEC" w:rsidRDefault="009E2ACD">
      <w:pPr>
        <w:rPr>
          <w:rFonts w:cs="Arial"/>
          <w:lang w:val="it-IT"/>
        </w:rPr>
      </w:pPr>
      <w:r>
        <w:rPr>
          <w:rFonts w:cs="Arial"/>
          <w:lang w:val="it-IT"/>
        </w:rPr>
        <w:t>Le indicazioni per un DAT polispecifico sono riportate nella figura 5.4.1</w:t>
      </w:r>
      <w:bookmarkStart w:id="51" w:name="_Toc70341195"/>
      <w:bookmarkStart w:id="52" w:name="_Toc70341378"/>
      <w:bookmarkStart w:id="53" w:name="_Toc70341562"/>
      <w:bookmarkStart w:id="54" w:name="_Toc73021484"/>
      <w:bookmarkStart w:id="55" w:name="_Toc73021664"/>
      <w:bookmarkStart w:id="56" w:name="_Toc70341196"/>
      <w:bookmarkStart w:id="57" w:name="_Toc70341379"/>
      <w:bookmarkStart w:id="58" w:name="_Toc70341563"/>
      <w:bookmarkStart w:id="59" w:name="_Toc73021485"/>
      <w:bookmarkStart w:id="60" w:name="_Toc73021665"/>
      <w:bookmarkStart w:id="61" w:name="_Toc70341197"/>
      <w:bookmarkStart w:id="62" w:name="_Toc70341380"/>
      <w:bookmarkStart w:id="63" w:name="_Toc70341564"/>
      <w:bookmarkStart w:id="64" w:name="_Toc73021486"/>
      <w:bookmarkStart w:id="65" w:name="_Toc73021666"/>
      <w:bookmarkStart w:id="66" w:name="_Toc70341198"/>
      <w:bookmarkStart w:id="67" w:name="_Toc70341381"/>
      <w:bookmarkStart w:id="68" w:name="_Toc70341565"/>
      <w:bookmarkStart w:id="69" w:name="_Toc73021487"/>
      <w:bookmarkStart w:id="70" w:name="_Toc73021667"/>
      <w:bookmarkStart w:id="71" w:name="_Toc70341199"/>
      <w:bookmarkStart w:id="72" w:name="_Toc70341382"/>
      <w:bookmarkStart w:id="73" w:name="_Toc70341566"/>
      <w:bookmarkStart w:id="74" w:name="_Toc73021488"/>
      <w:bookmarkStart w:id="75" w:name="_Toc73021668"/>
      <w:bookmarkStart w:id="76" w:name="_Toc70341200"/>
      <w:bookmarkStart w:id="77" w:name="_Toc70341383"/>
      <w:bookmarkStart w:id="78" w:name="_Toc70341567"/>
      <w:bookmarkStart w:id="79" w:name="_Toc73021489"/>
      <w:bookmarkStart w:id="80" w:name="_Toc7302166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cs="Arial"/>
          <w:lang w:val="it-IT"/>
        </w:rPr>
        <w:t>.</w:t>
      </w:r>
    </w:p>
    <w:p w14:paraId="083198CA" w14:textId="77777777" w:rsidR="00EF4BEC" w:rsidRDefault="009E2ACD">
      <w:pPr>
        <w:pStyle w:val="AufzhlungPunkt"/>
      </w:pPr>
      <w:r>
        <w:t>In caso di DAT negativo senza segni di emolisi non sono necessarie ulteriori procedure.</w:t>
      </w:r>
    </w:p>
    <w:p w14:paraId="71BF429D" w14:textId="77777777" w:rsidR="00EF4BEC" w:rsidRDefault="009E2ACD">
      <w:pPr>
        <w:pStyle w:val="AufzhlungPunkt"/>
      </w:pPr>
      <w:r>
        <w:t>In caso di DAT negativo con segni di emolisi (p. es. LDH, bilirubina totale e aptoglobina) vedi § 5.4.2.</w:t>
      </w:r>
    </w:p>
    <w:p w14:paraId="516B7AF1" w14:textId="77777777" w:rsidR="00EF4BEC" w:rsidRDefault="009E2ACD">
      <w:pPr>
        <w:pStyle w:val="AufzhlungPunkt"/>
      </w:pPr>
      <w:r>
        <w:t>Se il DAT è positivo ma non indicato non sono necessarie ulteriori indagini. Lo stesso vale anche quando l’anamnesi trasfusionale non è nota. È responsabilità del medico curante informare il laboratorio di un’eventuale pre-trasfusione &lt;14 giorni.</w:t>
      </w:r>
    </w:p>
    <w:p w14:paraId="23585DC6" w14:textId="77777777" w:rsidR="00EF4BEC" w:rsidRDefault="009E2ACD">
      <w:pPr>
        <w:pStyle w:val="AufzhlungPunkt"/>
      </w:pPr>
      <w:r>
        <w:t xml:space="preserve">In caso di risultato positivo si dovrebbe svolgere un DAT monospecifico (IgG/C3d) (vedi fig. 5.4.2). Un DAT monospecifico esteso (IgM/IgA) è raccomandato in presenza di segni di emolisi. Se vi sono segni di emolisi e una prima evidenza di un’unica presenza di C3d nel DAT monospecifico, la diagnosi differenziale dovrebbe prendere in considerazione le agglutinine fredde, anticorpi indotti da farmaci o reazioni emolitiche ritardate dovute ad alloanticorpi. </w:t>
      </w:r>
    </w:p>
    <w:p w14:paraId="10122FD4" w14:textId="77777777" w:rsidR="00EF4BEC" w:rsidRDefault="009E2ACD" w:rsidP="00B83906">
      <w:pPr>
        <w:pStyle w:val="berschrift3"/>
      </w:pPr>
      <w:bookmarkStart w:id="81" w:name="_Toc74204215"/>
      <w:bookmarkStart w:id="82" w:name="_Toc161749112"/>
      <w:r>
        <w:t>Elu</w:t>
      </w:r>
      <w:bookmarkEnd w:id="81"/>
      <w:r>
        <w:t>izione</w:t>
      </w:r>
      <w:bookmarkEnd w:id="82"/>
    </w:p>
    <w:p w14:paraId="24C182A7" w14:textId="77777777" w:rsidR="00EF4BEC" w:rsidRDefault="009E2ACD">
      <w:pPr>
        <w:rPr>
          <w:lang w:val="it-IT"/>
        </w:rPr>
      </w:pPr>
      <w:r>
        <w:rPr>
          <w:lang w:val="it-IT"/>
        </w:rPr>
        <w:t>L’eluizione serve a accertare la presenza e individuare gli allo- e/o autoanticorpi legati a eritrociti.</w:t>
      </w:r>
    </w:p>
    <w:p w14:paraId="2EBE01B5" w14:textId="77777777" w:rsidR="00EF4BEC" w:rsidRDefault="009E2ACD">
      <w:pPr>
        <w:pStyle w:val="AufzhlungPunkt"/>
      </w:pPr>
      <w:r>
        <w:t>Le indicazioni per una eluizione sono riportate nella figura 5.4.2.</w:t>
      </w:r>
    </w:p>
    <w:p w14:paraId="4A5449B4" w14:textId="77777777" w:rsidR="00EF4BEC" w:rsidRDefault="009E2ACD">
      <w:pPr>
        <w:pStyle w:val="AufzhlungPunkt"/>
      </w:pPr>
      <w:r>
        <w:t>Se nell’eluato si evidenziano alloanticorpi di importanza clinica, questi devono essere presi in considerazione (prova di compatibilità e Ag negativo); altrimenti è possibile liberare CE secondo la regola del T&amp;S.</w:t>
      </w:r>
    </w:p>
    <w:p w14:paraId="1E9C6D23" w14:textId="77777777" w:rsidR="00EF4BEC" w:rsidRDefault="009E2ACD">
      <w:pPr>
        <w:pStyle w:val="AufzhlungPunkt"/>
      </w:pPr>
      <w:r>
        <w:t>In presenza di autoanticorpi nell’eluato vedi § 9.5. I motivi per un eluato negativo a fronte di un DAT positivo sono ad esempio l’assunzione di determinati farmaci, diverse malattie, la distruzione di eventuali anticorpi con il metodo dell’eluizione.</w:t>
      </w:r>
    </w:p>
    <w:p w14:paraId="72139D05" w14:textId="77777777" w:rsidR="00EF4BEC" w:rsidRDefault="009E2ACD">
      <w:pPr>
        <w:pStyle w:val="AufzhlungPunkt"/>
      </w:pPr>
      <w:r>
        <w:t xml:space="preserve">Esistono due studi non pubblicati che indicano che gli alloanticorpi legati a eritrociti presentano preferibilmente un’intensità DAT &lt; a 2+. </w:t>
      </w:r>
    </w:p>
    <w:p w14:paraId="757BC9B1" w14:textId="77777777" w:rsidR="00EF4BEC" w:rsidRDefault="009E2ACD">
      <w:pPr>
        <w:pStyle w:val="AufzhlungPunkt"/>
      </w:pPr>
      <w:r>
        <w:t>Per aumento significativo si intende una reazione di ≥1+.</w:t>
      </w:r>
    </w:p>
    <w:p w14:paraId="28F57553" w14:textId="77777777" w:rsidR="00EF4BEC" w:rsidRDefault="009E2ACD">
      <w:pPr>
        <w:pStyle w:val="AufzhlungPunkt"/>
        <w:sectPr w:rsidR="00EF4BEC">
          <w:pgSz w:w="11906" w:h="16838"/>
          <w:pgMar w:top="1418" w:right="1418" w:bottom="1134" w:left="1418" w:header="567" w:footer="0" w:gutter="0"/>
          <w:cols w:space="708"/>
          <w:docGrid w:linePitch="360"/>
        </w:sectPr>
      </w:pPr>
      <w:r>
        <w:t>In caso di reazione trasfusionale con segni di emolisi si svolge sempre un’eluizione indipendentemente dal fatto che il DAT polispecifico risulti positivo o negativo. In presenza di segni di emolisi viene svolto sempre un eluato anche se il DAT è negativo.</w:t>
      </w:r>
    </w:p>
    <w:p w14:paraId="6BA2CBE3" w14:textId="77777777" w:rsidR="00EF4BEC" w:rsidRDefault="009E2ACD">
      <w:pPr>
        <w:rPr>
          <w:rFonts w:cs="Arial"/>
        </w:rPr>
      </w:pPr>
      <w:r>
        <w:rPr>
          <w:rFonts w:cs="Arial"/>
        </w:rPr>
        <w:lastRenderedPageBreak/>
        <w:t>Figura 5.4.1</w:t>
      </w:r>
    </w:p>
    <w:p w14:paraId="5F74C264" w14:textId="77777777" w:rsidR="00EF4BEC" w:rsidRDefault="009E2ACD">
      <w:pPr>
        <w:rPr>
          <w:rFonts w:cs="Arial"/>
        </w:rPr>
        <w:sectPr w:rsidR="00EF4BEC">
          <w:pgSz w:w="16838" w:h="11906" w:orient="landscape"/>
          <w:pgMar w:top="1418" w:right="1418" w:bottom="1418" w:left="1134" w:header="567" w:footer="0" w:gutter="0"/>
          <w:cols w:space="708"/>
          <w:docGrid w:linePitch="360"/>
        </w:sectPr>
      </w:pPr>
      <w:r>
        <w:rPr>
          <w:rFonts w:cs="Arial"/>
          <w:noProof/>
          <w:lang w:eastAsia="de-CH"/>
        </w:rPr>
        <mc:AlternateContent>
          <mc:Choice Requires="wpg">
            <w:drawing>
              <wp:inline distT="0" distB="0" distL="0" distR="0" wp14:anchorId="321A7C6F" wp14:editId="3D248CA9">
                <wp:extent cx="7639050" cy="4734639"/>
                <wp:effectExtent l="0" t="0" r="0" b="0"/>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5"/>
                        <a:srcRect b="52840"/>
                        <a:stretch/>
                      </pic:blipFill>
                      <pic:spPr bwMode="auto">
                        <a:xfrm>
                          <a:off x="0" y="0"/>
                          <a:ext cx="7713812" cy="4780976"/>
                        </a:xfrm>
                        <a:prstGeom prst="rect">
                          <a:avLst/>
                        </a:prstGeom>
                        <a:noFill/>
                        <a:ln>
                          <a:noFill/>
                        </a:ln>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601.5pt;height:372.8pt;" stroked="f">
                <v:path textboxrect="0,0,0,0"/>
                <v:imagedata r:id="rId20" o:title=""/>
              </v:shape>
            </w:pict>
          </mc:Fallback>
        </mc:AlternateContent>
      </w:r>
    </w:p>
    <w:p w14:paraId="1D526B25" w14:textId="77777777" w:rsidR="00EF4BEC" w:rsidRDefault="009E2ACD">
      <w:pPr>
        <w:rPr>
          <w:rFonts w:cs="Arial"/>
        </w:rPr>
      </w:pPr>
      <w:r>
        <w:rPr>
          <w:rFonts w:cs="Arial"/>
        </w:rPr>
        <w:lastRenderedPageBreak/>
        <w:t>Figura 5.4.2</w:t>
      </w:r>
    </w:p>
    <w:p w14:paraId="7DE524BB" w14:textId="77777777" w:rsidR="00EF4BEC" w:rsidRDefault="009E2ACD">
      <w:pPr>
        <w:rPr>
          <w:rFonts w:cs="Arial"/>
        </w:rPr>
        <w:sectPr w:rsidR="00EF4BEC">
          <w:pgSz w:w="16838" w:h="11906" w:orient="landscape"/>
          <w:pgMar w:top="1418" w:right="1418" w:bottom="1418" w:left="1134" w:header="567" w:footer="0" w:gutter="0"/>
          <w:cols w:space="708"/>
          <w:docGrid w:linePitch="360"/>
        </w:sectPr>
      </w:pPr>
      <w:r>
        <w:rPr>
          <w:rFonts w:cs="Arial"/>
          <w:noProof/>
          <w:lang w:eastAsia="de-CH"/>
        </w:rPr>
        <mc:AlternateContent>
          <mc:Choice Requires="wpg">
            <w:drawing>
              <wp:inline distT="0" distB="0" distL="0" distR="0" wp14:anchorId="3E34FD2C" wp14:editId="11E1494B">
                <wp:extent cx="6005779" cy="4799817"/>
                <wp:effectExtent l="0" t="0" r="0" b="127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1"/>
                        <a:stretch/>
                      </pic:blipFill>
                      <pic:spPr bwMode="auto">
                        <a:xfrm>
                          <a:off x="0" y="0"/>
                          <a:ext cx="6039794" cy="4827002"/>
                        </a:xfrm>
                        <a:prstGeom prst="rect">
                          <a:avLst/>
                        </a:prstGeom>
                        <a:noFill/>
                        <a:ln>
                          <a:noFill/>
                        </a:ln>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472.9pt;height:377.9pt;" stroked="f">
                <v:path textboxrect="0,0,0,0"/>
                <v:imagedata r:id="rId22" o:title=""/>
              </v:shape>
            </w:pict>
          </mc:Fallback>
        </mc:AlternateContent>
      </w:r>
    </w:p>
    <w:p w14:paraId="5ABF2646" w14:textId="77777777" w:rsidR="00EF4BEC" w:rsidRDefault="009E2ACD" w:rsidP="00B83906">
      <w:pPr>
        <w:pStyle w:val="berschrift2"/>
      </w:pPr>
      <w:bookmarkStart w:id="83" w:name="_Toc161749113"/>
      <w:r>
        <w:lastRenderedPageBreak/>
        <w:t>Controllo pre-trasfusionale della compatibilità</w:t>
      </w:r>
      <w:bookmarkEnd w:id="83"/>
      <w:r>
        <w:t xml:space="preserve"> </w:t>
      </w:r>
    </w:p>
    <w:p w14:paraId="722C2D82" w14:textId="77777777" w:rsidR="00EF4BEC" w:rsidRDefault="009E2ACD">
      <w:pPr>
        <w:rPr>
          <w:rFonts w:cs="Arial"/>
          <w:lang w:val="it-IT"/>
        </w:rPr>
      </w:pPr>
      <w:r>
        <w:rPr>
          <w:rFonts w:cs="Arial"/>
          <w:lang w:val="it-IT"/>
        </w:rPr>
        <w:t>Il controllo della compatibilità tra il campione del paziente e i prodotti sanguigni può essere assicurato con il procedimento T&amp;S (metodo standard) o TC.</w:t>
      </w:r>
    </w:p>
    <w:p w14:paraId="23DACB84" w14:textId="7BFB6925" w:rsidR="00EF4BEC" w:rsidRDefault="009E2ACD">
      <w:pPr>
        <w:pStyle w:val="AufzhlungPunkt"/>
      </w:pPr>
      <w:r>
        <w:t>Gli antigeni A, B e RH1 devono essere controllati nel CE.</w:t>
      </w:r>
    </w:p>
    <w:p w14:paraId="1BBE4106" w14:textId="77777777" w:rsidR="00EF4BEC" w:rsidRDefault="009E2ACD">
      <w:pPr>
        <w:pStyle w:val="AufzhlungPunkt"/>
      </w:pPr>
      <w:r>
        <w:t>Il gruppo sanguigno del paziente e quello dei CE devono essere compatibili (vedi § 8.1).</w:t>
      </w:r>
    </w:p>
    <w:p w14:paraId="6CD15440" w14:textId="77777777" w:rsidR="00EF4BEC" w:rsidRDefault="009E2ACD">
      <w:pPr>
        <w:pStyle w:val="AufzhlungPunkt"/>
      </w:pPr>
      <w:r>
        <w:t>Se a titolo preventivo si prendono in considerazione le specificità degli antigeni, questi ultimi non devono essere necessariamente controllati nel CE.</w:t>
      </w:r>
    </w:p>
    <w:p w14:paraId="359A099F" w14:textId="77777777" w:rsidR="00EF4BEC" w:rsidRDefault="009E2ACD">
      <w:pPr>
        <w:pStyle w:val="AufzhlungPunkt"/>
      </w:pPr>
      <w:r>
        <w:t>In caso di alloanticorpi di importanza clinica, attualmente evidenziabili o noti, è necessario controllare la negatività degli antigeni sui CE selezionati ed effettuare un TC (vedi tabella 8.1.3.2).</w:t>
      </w:r>
    </w:p>
    <w:p w14:paraId="716FE1AA" w14:textId="5FCCAE73" w:rsidR="00EF4BEC" w:rsidRDefault="009E2ACD">
      <w:pPr>
        <w:pStyle w:val="AufzhlungPunkt"/>
      </w:pPr>
      <w:r>
        <w:t xml:space="preserve">In presenza di anticorpi </w:t>
      </w:r>
      <w:r w:rsidR="009D347F">
        <w:t xml:space="preserve">contro antigeni </w:t>
      </w:r>
      <w:r>
        <w:t>a bassa frequenza (</w:t>
      </w:r>
      <w:r w:rsidR="00737901">
        <w:t>anti-</w:t>
      </w:r>
      <w:r>
        <w:t xml:space="preserve">privati) il CE può essere liberato tramite TC negativo. </w:t>
      </w:r>
    </w:p>
    <w:p w14:paraId="6C312CD8" w14:textId="77777777" w:rsidR="00EF4BEC" w:rsidRDefault="009E2ACD">
      <w:pPr>
        <w:pStyle w:val="AufzhlungPunkt"/>
      </w:pPr>
      <w:r>
        <w:t>In caso di dubbio o risultati non chiari, è necessario eseguire un TC.</w:t>
      </w:r>
    </w:p>
    <w:p w14:paraId="35923E80" w14:textId="76FD9F7B" w:rsidR="00EF4BEC" w:rsidRDefault="009E2ACD">
      <w:pPr>
        <w:pStyle w:val="AufzhlungPunkt"/>
      </w:pPr>
      <w:r>
        <w:t>Se un anti-RH1 è da ricondurre a una profilassi RHIG e si escludono altri anticorpi di importanza clinica, i CE possono essere liberati secondo la regola del T&amp;S.</w:t>
      </w:r>
    </w:p>
    <w:p w14:paraId="46747ADC" w14:textId="6F51CBCE" w:rsidR="00EF4BEC" w:rsidRDefault="009E2ACD">
      <w:pPr>
        <w:pStyle w:val="AufzhlungPunkt"/>
      </w:pPr>
      <w:r>
        <w:t>In presenza di un anticorpo anti-RH3 (anti-E) o anti-RH8 (anti-C</w:t>
      </w:r>
      <w:r>
        <w:rPr>
          <w:vertAlign w:val="superscript"/>
        </w:rPr>
        <w:t>w</w:t>
      </w:r>
      <w:r>
        <w:t>) «enzyme only»</w:t>
      </w:r>
      <w:r w:rsidR="009D347F" w:rsidRPr="00A90D84">
        <w:t>", che non è mai stato rilevato nello IAT,</w:t>
      </w:r>
      <w:r>
        <w:t xml:space="preserve"> i CE RH/KEL1 compatibili possono essere liberati secondo la regola del T&amp;S.</w:t>
      </w:r>
    </w:p>
    <w:p w14:paraId="7D9A12E6" w14:textId="77777777" w:rsidR="00EF4BEC" w:rsidRDefault="009E2ACD" w:rsidP="00B83906">
      <w:pPr>
        <w:pStyle w:val="berschrift3"/>
      </w:pPr>
      <w:bookmarkStart w:id="84" w:name="_Toc161749114"/>
      <w:r>
        <w:t>Liberazione di CE per trasfusione</w:t>
      </w:r>
      <w:bookmarkEnd w:id="84"/>
      <w:r>
        <w:t xml:space="preserve"> </w:t>
      </w:r>
    </w:p>
    <w:p w14:paraId="1AD3FE9D" w14:textId="77777777" w:rsidR="00EF4BEC" w:rsidRDefault="009E2ACD">
      <w:pPr>
        <w:rPr>
          <w:rFonts w:cs="Arial"/>
          <w:lang w:val="it-IT"/>
        </w:rPr>
      </w:pPr>
      <w:r>
        <w:rPr>
          <w:rFonts w:cs="Arial"/>
          <w:lang w:val="it-IT"/>
        </w:rPr>
        <w:t xml:space="preserve">In questo contesto liberazione significa preparare un prodotto sanguigno che soddisfa i criteri di compatibilità immunoematologica per un determinato paziente. </w:t>
      </w:r>
    </w:p>
    <w:p w14:paraId="51DB86A7" w14:textId="77777777" w:rsidR="00EF4BEC" w:rsidRDefault="009E2ACD" w:rsidP="00B83906">
      <w:pPr>
        <w:pStyle w:val="berschrift3"/>
      </w:pPr>
      <w:bookmarkStart w:id="85" w:name="_Toc161749115"/>
      <w:r>
        <w:t>Liberazione mediante T&amp;S</w:t>
      </w:r>
      <w:bookmarkEnd w:id="85"/>
    </w:p>
    <w:p w14:paraId="6DC9A8A8" w14:textId="77777777" w:rsidR="00EF4BEC" w:rsidRDefault="009E2ACD">
      <w:pPr>
        <w:pStyle w:val="AufzhlungPunkt"/>
      </w:pPr>
      <w:bookmarkStart w:id="86" w:name="_Hlk79682092"/>
      <w:r>
        <w:t>Condizioni per la liberazione con T&amp;S:</w:t>
      </w:r>
    </w:p>
    <w:p w14:paraId="6C5815C3" w14:textId="6D921647" w:rsidR="00EF4BEC" w:rsidRDefault="009E2ACD">
      <w:pPr>
        <w:pStyle w:val="AufzhlungStrich"/>
      </w:pPr>
      <w:r>
        <w:t>determinazione del gruppo sanguigno ABO e dell’antigene RH1 nel campione del paziente (Type),</w:t>
      </w:r>
    </w:p>
    <w:p w14:paraId="0A47C6DD" w14:textId="77777777" w:rsidR="00EF4BEC" w:rsidRDefault="009E2ACD">
      <w:pPr>
        <w:pStyle w:val="AufzhlungStrich"/>
      </w:pPr>
      <w:r>
        <w:t>presenza di una RAI negativa valida (Screen),</w:t>
      </w:r>
    </w:p>
    <w:p w14:paraId="7EA4CAD9" w14:textId="186D8C1E" w:rsidR="00EF4BEC" w:rsidRDefault="009E2ACD">
      <w:pPr>
        <w:pStyle w:val="AufzhlungStrich"/>
      </w:pPr>
      <w:r>
        <w:t>controllo antigeni AB/RH1 dei CE,</w:t>
      </w:r>
    </w:p>
    <w:p w14:paraId="1306DA60" w14:textId="047518E4" w:rsidR="00EF4BEC" w:rsidRDefault="009E2ACD">
      <w:pPr>
        <w:pStyle w:val="AufzhlungStrich"/>
      </w:pPr>
      <w:r>
        <w:t>controllo e documentazione della compatibilità del gruppo AB/RH1 del paziente con il gruppo AB/RH1 dei CE.</w:t>
      </w:r>
      <w:bookmarkEnd w:id="86"/>
    </w:p>
    <w:p w14:paraId="08F44BF3" w14:textId="77777777" w:rsidR="00EF4BEC" w:rsidRDefault="009E2ACD" w:rsidP="00B83906">
      <w:pPr>
        <w:pStyle w:val="berschrift3"/>
      </w:pPr>
      <w:bookmarkStart w:id="87" w:name="_Toc161749116"/>
      <w:r>
        <w:t>Liberazione mediante TC</w:t>
      </w:r>
      <w:bookmarkEnd w:id="87"/>
      <w:r>
        <w:t xml:space="preserve"> </w:t>
      </w:r>
    </w:p>
    <w:p w14:paraId="1F127029" w14:textId="77777777" w:rsidR="00EF4BEC" w:rsidRDefault="009E2ACD">
      <w:pPr>
        <w:pStyle w:val="AufzhlungPunkt"/>
      </w:pPr>
      <w:r>
        <w:t>Condizioni per la liberazione con TC:</w:t>
      </w:r>
    </w:p>
    <w:p w14:paraId="2165A84B" w14:textId="21B2812B" w:rsidR="00EF4BEC" w:rsidRDefault="009E2ACD">
      <w:pPr>
        <w:pStyle w:val="AufzhlungStrich"/>
      </w:pPr>
      <w:r>
        <w:t>determinazione del gruppo sanguigno ABO e dell’antigene RH1 nel campione del paziente,</w:t>
      </w:r>
    </w:p>
    <w:p w14:paraId="53F5FF17" w14:textId="77777777" w:rsidR="00EF4BEC" w:rsidRDefault="009E2ACD">
      <w:pPr>
        <w:pStyle w:val="AufzhlungStrich"/>
      </w:pPr>
      <w:r>
        <w:t>presenza di una RAI valida risp. identificazione degli anticorpi,</w:t>
      </w:r>
    </w:p>
    <w:p w14:paraId="1F47F7E3" w14:textId="77777777" w:rsidR="00EF4BEC" w:rsidRDefault="009E2ACD">
      <w:pPr>
        <w:pStyle w:val="AufzhlungStrich"/>
      </w:pPr>
      <w:r>
        <w:t xml:space="preserve">TC in IAT del siero/plasma del paziente con ogni CE. </w:t>
      </w:r>
    </w:p>
    <w:p w14:paraId="26FD93D6" w14:textId="5812102F" w:rsidR="00EF4BEC" w:rsidRDefault="009E2ACD">
      <w:pPr>
        <w:pStyle w:val="AufzhlungStrich"/>
      </w:pPr>
      <w:r>
        <w:t>controllo antigeni AB/RH1 dei CE e controllo della negatività antigenica in presenza di alloanticorpi,</w:t>
      </w:r>
    </w:p>
    <w:p w14:paraId="691D4072" w14:textId="77777777" w:rsidR="00EF4BEC" w:rsidRDefault="009E2ACD">
      <w:pPr>
        <w:pStyle w:val="AufzhlungStrich"/>
      </w:pPr>
      <w:r>
        <w:t xml:space="preserve">controllo della compatibilità: </w:t>
      </w:r>
    </w:p>
    <w:p w14:paraId="223E4F1A" w14:textId="4803B271" w:rsidR="00EF4BEC" w:rsidRDefault="009E2ACD">
      <w:pPr>
        <w:pStyle w:val="AufzhlungQuadrat"/>
      </w:pPr>
      <w:r>
        <w:t xml:space="preserve">tra il gruppo AB/RH1 del paziente e quello dei CE, </w:t>
      </w:r>
    </w:p>
    <w:p w14:paraId="4B6D4B52" w14:textId="77777777" w:rsidR="00EF4BEC" w:rsidRDefault="009E2ACD">
      <w:pPr>
        <w:pStyle w:val="AufzhlungQuadrat"/>
      </w:pPr>
      <w:r>
        <w:t>di eventuali alloanticorpi individuati nel paziente e l’assenza di antigeni corrispondenti nei CE selezionati.</w:t>
      </w:r>
    </w:p>
    <w:p w14:paraId="3AEF6F71" w14:textId="77777777" w:rsidR="00EF4BEC" w:rsidRDefault="009E2ACD">
      <w:pPr>
        <w:rPr>
          <w:rFonts w:cs="Arial"/>
          <w:lang w:val="it-IT"/>
        </w:rPr>
      </w:pPr>
      <w:r>
        <w:rPr>
          <w:rFonts w:cs="Arial"/>
          <w:lang w:val="it-IT"/>
        </w:rPr>
        <w:t>Se il TC risulta inspiegabilmente positivo, prima della trasfusione si rendono necessarie ulteriori indagini. Se le analisi approfondite non forniscono alcun risultato, occorre informare il medico richiedente sui possibili rischi e le misure preventive.</w:t>
      </w:r>
    </w:p>
    <w:p w14:paraId="0E93160C" w14:textId="77777777" w:rsidR="00EF4BEC" w:rsidRDefault="009E2ACD" w:rsidP="00B83906">
      <w:pPr>
        <w:pStyle w:val="berschrift2"/>
      </w:pPr>
      <w:bookmarkStart w:id="88" w:name="_Toc161749117"/>
      <w:r>
        <w:t>Etichettatura, distribuzione dei concentrati eritrocitari</w:t>
      </w:r>
      <w:bookmarkEnd w:id="88"/>
    </w:p>
    <w:p w14:paraId="3BC19597" w14:textId="77777777" w:rsidR="00EF4BEC" w:rsidRDefault="009E2ACD" w:rsidP="00B83906">
      <w:pPr>
        <w:pStyle w:val="berschrift3"/>
      </w:pPr>
      <w:bookmarkStart w:id="89" w:name="_Toc161749118"/>
      <w:r>
        <w:t>Etichettatura dei documenti d’accompagnamento</w:t>
      </w:r>
      <w:bookmarkEnd w:id="89"/>
    </w:p>
    <w:p w14:paraId="0C94836C" w14:textId="77777777" w:rsidR="00EF4BEC" w:rsidRDefault="009E2ACD">
      <w:pPr>
        <w:pStyle w:val="AufzhlungPunkt"/>
      </w:pPr>
      <w:r>
        <w:t>Le informazioni seguenti devono figurare sull’etichetta del CE liberato per un determinato paziente:</w:t>
      </w:r>
    </w:p>
    <w:p w14:paraId="3882773D" w14:textId="77777777" w:rsidR="00EF4BEC" w:rsidRDefault="009E2ACD">
      <w:pPr>
        <w:pStyle w:val="AufzhlungStrich"/>
      </w:pPr>
      <w:r>
        <w:lastRenderedPageBreak/>
        <w:t>cognome, nome e data di nascita completa del ricevente,</w:t>
      </w:r>
    </w:p>
    <w:p w14:paraId="00253110" w14:textId="50E16AF2" w:rsidR="00EF4BEC" w:rsidRDefault="009E2ACD">
      <w:pPr>
        <w:pStyle w:val="AufzhlungStrich"/>
      </w:pPr>
      <w:r>
        <w:t>gruppo sanguigno ABO e antigene RH1 del ricevente,</w:t>
      </w:r>
    </w:p>
    <w:p w14:paraId="2DD7D462" w14:textId="72D0B435" w:rsidR="00EF4BEC" w:rsidRDefault="009E2ACD">
      <w:pPr>
        <w:pStyle w:val="AufzhlungStrich"/>
      </w:pPr>
      <w:r>
        <w:t>numero di donazione, gruppo sanguigno ABO e antigene RH1 del CE,</w:t>
      </w:r>
    </w:p>
    <w:p w14:paraId="4BFB7577" w14:textId="77777777" w:rsidR="00EF4BEC" w:rsidRDefault="009E2ACD">
      <w:pPr>
        <w:pStyle w:val="AufzhlungStrich"/>
      </w:pPr>
      <w:r>
        <w:t>data di scadenza della trasfusione (rispetto della validità di 96 ore),</w:t>
      </w:r>
    </w:p>
    <w:p w14:paraId="08D6317F" w14:textId="10A964A3" w:rsidR="00EF4BEC" w:rsidRDefault="009E2ACD">
      <w:pPr>
        <w:pStyle w:val="AufzhlungStrich"/>
      </w:pPr>
      <w:r>
        <w:t>data e firma/sigla della persona che rilascia i CE.</w:t>
      </w:r>
    </w:p>
    <w:p w14:paraId="1C3591C2" w14:textId="77777777" w:rsidR="00EF4BEC" w:rsidRDefault="009E2ACD" w:rsidP="00B83906">
      <w:pPr>
        <w:pStyle w:val="berschrift3"/>
      </w:pPr>
      <w:bookmarkStart w:id="90" w:name="_Toc161749119"/>
      <w:r>
        <w:t>Distribuzione dei concentrati eritrocitari liberati</w:t>
      </w:r>
      <w:bookmarkEnd w:id="90"/>
    </w:p>
    <w:p w14:paraId="4E2570EE" w14:textId="77777777" w:rsidR="00EF4BEC" w:rsidRDefault="009E2ACD">
      <w:pPr>
        <w:rPr>
          <w:rFonts w:cs="Arial"/>
          <w:lang w:val="it-IT"/>
        </w:rPr>
      </w:pPr>
      <w:r>
        <w:rPr>
          <w:rFonts w:cs="Arial"/>
          <w:lang w:val="it-IT"/>
        </w:rPr>
        <w:t>In questo contesto distribuzione significa consegna di prodotti sanguigni che soddisfano i criteri per la liberazione.</w:t>
      </w:r>
    </w:p>
    <w:p w14:paraId="0D6A2FCF" w14:textId="77777777" w:rsidR="00EF4BEC" w:rsidRDefault="009E2ACD">
      <w:pPr>
        <w:pStyle w:val="AufzhlungPunkt"/>
      </w:pPr>
      <w:r>
        <w:t>Documentazione della data di distribuzione con firma/sigla della persona che ha distribuito il CE.</w:t>
      </w:r>
    </w:p>
    <w:p w14:paraId="3DB8C768" w14:textId="77777777" w:rsidR="00EF4BEC" w:rsidRDefault="009E2ACD">
      <w:pPr>
        <w:pStyle w:val="AufzhlungPunkt"/>
      </w:pPr>
      <w:r>
        <w:t>In caso di applicazione della regola delle 96 ore di validità, i CE liberati (T&amp;S e TC) devono essere trasfusi al massimo entro le 96 ore dal prelievo (vedi § 4.2.2). La trasfusione deve iniziare entro la scadenza delle 96 ore. Allo scadere di questo termine, si deve nuovamente eseguire un test pre-trasfusionale su un nuovo campione di sangue del paziente prima di ogni ulteriore trasfusione.</w:t>
      </w:r>
    </w:p>
    <w:p w14:paraId="74C6A4E3" w14:textId="77777777" w:rsidR="00EF4BEC" w:rsidRDefault="009E2ACD" w:rsidP="00B83906">
      <w:pPr>
        <w:pStyle w:val="berschrift2"/>
      </w:pPr>
      <w:bookmarkStart w:id="91" w:name="_Toc161749120"/>
      <w:r>
        <w:t>Controllo immunoematologico post-trasfusionale</w:t>
      </w:r>
      <w:bookmarkEnd w:id="91"/>
      <w:r>
        <w:t xml:space="preserve"> </w:t>
      </w:r>
    </w:p>
    <w:p w14:paraId="03B09CF1" w14:textId="77777777" w:rsidR="00EF4BEC" w:rsidRDefault="009E2ACD">
      <w:pPr>
        <w:rPr>
          <w:rFonts w:cs="Arial"/>
          <w:lang w:val="it-IT"/>
        </w:rPr>
        <w:sectPr w:rsidR="00EF4BEC">
          <w:pgSz w:w="11906" w:h="16838"/>
          <w:pgMar w:top="1418" w:right="1418" w:bottom="1134" w:left="1418" w:header="567" w:footer="0" w:gutter="0"/>
          <w:cols w:space="708"/>
          <w:docGrid w:linePitch="360"/>
        </w:sectPr>
      </w:pPr>
      <w:r>
        <w:rPr>
          <w:rFonts w:cs="Arial"/>
          <w:lang w:val="it-IT"/>
        </w:rPr>
        <w:t>Dopo trasfusioni omologhe di CE, si raccomanda di verificare anche l’eventuale formazione di nuovi alloanticorpi. Dato che alcuni anticorpi richiedono diverse settimane per essere rilevati e altri, invece, possono rapidamente scendere al di sotto del limite di detezione, tale controllo dovrebbe essere fatto preferibilmente tra 6 e 12 settimane dopo la trasfusione.</w:t>
      </w:r>
    </w:p>
    <w:p w14:paraId="2981826C" w14:textId="77777777" w:rsidR="00EF4BEC" w:rsidRDefault="009E2ACD">
      <w:pPr>
        <w:pStyle w:val="berschrift1"/>
      </w:pPr>
      <w:bookmarkStart w:id="92" w:name="_Toc161749121"/>
      <w:r>
        <w:lastRenderedPageBreak/>
        <w:t>Postanalitica</w:t>
      </w:r>
      <w:bookmarkEnd w:id="92"/>
      <w:r>
        <w:t xml:space="preserve"> </w:t>
      </w:r>
    </w:p>
    <w:p w14:paraId="68753DE7" w14:textId="77777777" w:rsidR="00EF4BEC" w:rsidRDefault="009E2ACD" w:rsidP="00B83906">
      <w:pPr>
        <w:pStyle w:val="berschrift2"/>
      </w:pPr>
      <w:bookmarkStart w:id="93" w:name="_Toc161749122"/>
      <w:r>
        <w:t>Registrazione dei risultati</w:t>
      </w:r>
      <w:bookmarkEnd w:id="93"/>
      <w:r>
        <w:t xml:space="preserve"> </w:t>
      </w:r>
    </w:p>
    <w:p w14:paraId="74D4AA7F" w14:textId="77777777" w:rsidR="00EF4BEC" w:rsidRDefault="009E2ACD">
      <w:pPr>
        <w:pStyle w:val="AufzhlungPunkt"/>
      </w:pPr>
      <w:r>
        <w:t xml:space="preserve">Registrazione manuale dei risultati </w:t>
      </w:r>
    </w:p>
    <w:p w14:paraId="45F5C4FB" w14:textId="122140A9" w:rsidR="00EF4BEC" w:rsidRDefault="00204A64">
      <w:pPr>
        <w:pStyle w:val="AufzhlungPunkt"/>
      </w:pPr>
      <w:r w:rsidRPr="00A90D84">
        <w:t xml:space="preserve">L'inserimento dei dati </w:t>
      </w:r>
      <w:r w:rsidRPr="00047D06">
        <w:t>deve</w:t>
      </w:r>
      <w:r w:rsidRPr="00204A64">
        <w:t xml:space="preserve"> essere controllato, documentato e firmato da una seconda persona </w:t>
      </w:r>
      <w:r w:rsidRPr="00047D06">
        <w:t>il prima possibile</w:t>
      </w:r>
      <w:r w:rsidRPr="00A90D84">
        <w:t>.</w:t>
      </w:r>
      <w:r w:rsidR="009E2ACD">
        <w:t>Registrazione elettronica dei risultati</w:t>
      </w:r>
    </w:p>
    <w:p w14:paraId="0092A9C1" w14:textId="77777777" w:rsidR="00EF4BEC" w:rsidRDefault="009E2ACD">
      <w:pPr>
        <w:pStyle w:val="AufzhlungStrich"/>
      </w:pPr>
      <w:r>
        <w:t>Una validazione della connessione informatica deve dimostrare l’assenza del rischio di errori di trasferimento prima della sua messa in funzione.</w:t>
      </w:r>
    </w:p>
    <w:p w14:paraId="1586F90E" w14:textId="77777777" w:rsidR="00EF4BEC" w:rsidRDefault="009E2ACD" w:rsidP="00B83906">
      <w:pPr>
        <w:pStyle w:val="berschrift2"/>
      </w:pPr>
      <w:bookmarkStart w:id="94" w:name="_Toc161749123"/>
      <w:r>
        <w:t>Liberazione/convalida dei risultati</w:t>
      </w:r>
      <w:bookmarkEnd w:id="94"/>
      <w:r>
        <w:t xml:space="preserve"> </w:t>
      </w:r>
    </w:p>
    <w:p w14:paraId="760D3A71" w14:textId="77777777" w:rsidR="00EF4BEC" w:rsidRDefault="009E2ACD">
      <w:pPr>
        <w:rPr>
          <w:rFonts w:cs="Arial"/>
          <w:lang w:val="it-IT"/>
        </w:rPr>
      </w:pPr>
      <w:r>
        <w:rPr>
          <w:rFonts w:cs="Arial"/>
          <w:lang w:val="it-IT"/>
        </w:rPr>
        <w:t>I referti finali possono essere liberati solo dopo la convalida, qualunque sia il metodo impiegato (manuale o automatico).</w:t>
      </w:r>
    </w:p>
    <w:p w14:paraId="7487FAC5" w14:textId="77777777" w:rsidR="00EF4BEC" w:rsidRDefault="009E2ACD">
      <w:pPr>
        <w:rPr>
          <w:lang w:val="it-IT"/>
        </w:rPr>
      </w:pPr>
      <w:r>
        <w:rPr>
          <w:lang w:val="it-IT"/>
        </w:rPr>
        <w:t>Liberazione significa convalida e trasmissione del risultato al prescrivente (richiedente).</w:t>
      </w:r>
    </w:p>
    <w:p w14:paraId="1FAC4796" w14:textId="77777777" w:rsidR="00EF4BEC" w:rsidRDefault="009E2ACD">
      <w:pPr>
        <w:pStyle w:val="AufzhlungPunkt"/>
      </w:pPr>
      <w:r>
        <w:t>I risultati vengono convalidati dal responsabile del laboratorio (firma manuale o elettronica). La delega della responsabilità deve essere stabilita in direttive interne documentate.</w:t>
      </w:r>
    </w:p>
    <w:p w14:paraId="2F430E40" w14:textId="1356BC45" w:rsidR="00EF4BEC" w:rsidRDefault="009E2ACD">
      <w:pPr>
        <w:pStyle w:val="AufzhlungPunkt"/>
      </w:pPr>
      <w:r>
        <w:t>Ogni laboratorio stabilisce la propria politica di convalida medica per ga</w:t>
      </w:r>
      <w:r w:rsidR="00991D46">
        <w:t xml:space="preserve">rantire che non vengano omessi </w:t>
      </w:r>
      <w:r>
        <w:t>dei risultati rilevanti che potrebbero compromettere la sicurezza del paziente.</w:t>
      </w:r>
    </w:p>
    <w:p w14:paraId="3A866F0A" w14:textId="77777777" w:rsidR="00EF4BEC" w:rsidRDefault="009E2ACD" w:rsidP="00B83906">
      <w:pPr>
        <w:pStyle w:val="berschrift2"/>
      </w:pPr>
      <w:bookmarkStart w:id="95" w:name="_Toc161749124"/>
      <w:r>
        <w:t>Trasmissione dei risultati</w:t>
      </w:r>
      <w:bookmarkEnd w:id="95"/>
      <w:r>
        <w:t xml:space="preserve"> </w:t>
      </w:r>
    </w:p>
    <w:p w14:paraId="525E988A" w14:textId="77777777" w:rsidR="00EF4BEC" w:rsidRDefault="009E2ACD">
      <w:pPr>
        <w:rPr>
          <w:rFonts w:cs="Arial"/>
          <w:lang w:val="it-IT"/>
        </w:rPr>
      </w:pPr>
      <w:r>
        <w:rPr>
          <w:rFonts w:cs="Arial"/>
          <w:lang w:val="it-IT"/>
        </w:rPr>
        <w:t>L’uso della nomenclatura internazionale (ISBT) è da perseguire a lungo termine.</w:t>
      </w:r>
    </w:p>
    <w:p w14:paraId="120ED208" w14:textId="77777777" w:rsidR="00EF4BEC" w:rsidRDefault="009E2ACD" w:rsidP="00B83906">
      <w:pPr>
        <w:pStyle w:val="berschrift3"/>
      </w:pPr>
      <w:bookmarkStart w:id="96" w:name="_Toc161749125"/>
      <w:r>
        <w:t>Rapporto</w:t>
      </w:r>
      <w:bookmarkEnd w:id="96"/>
    </w:p>
    <w:p w14:paraId="5D9C45F6" w14:textId="77777777" w:rsidR="00EF4BEC" w:rsidRDefault="009E2ACD">
      <w:pPr>
        <w:rPr>
          <w:rFonts w:cs="Arial"/>
          <w:lang w:val="it-IT"/>
        </w:rPr>
      </w:pPr>
      <w:r>
        <w:rPr>
          <w:rFonts w:cs="Arial"/>
          <w:lang w:val="it-IT"/>
        </w:rPr>
        <w:t>Il rapporto di analisi deve contenere i seguenti dati:</w:t>
      </w:r>
    </w:p>
    <w:p w14:paraId="4F34CC07" w14:textId="77777777" w:rsidR="00EF4BEC" w:rsidRDefault="009E2ACD">
      <w:pPr>
        <w:pStyle w:val="AufzhlungPunkt"/>
      </w:pPr>
      <w:r>
        <w:t xml:space="preserve">nome e indirizzo del laboratorio, </w:t>
      </w:r>
    </w:p>
    <w:p w14:paraId="37840455" w14:textId="77777777" w:rsidR="00EF4BEC" w:rsidRDefault="009E2ACD">
      <w:pPr>
        <w:pStyle w:val="AufzhlungPunkt"/>
      </w:pPr>
      <w:r>
        <w:t>numero del campione,</w:t>
      </w:r>
    </w:p>
    <w:p w14:paraId="5EA6F7E9" w14:textId="77777777" w:rsidR="00EF4BEC" w:rsidRDefault="009E2ACD">
      <w:pPr>
        <w:pStyle w:val="AufzhlungPunkt"/>
      </w:pPr>
      <w:r>
        <w:t xml:space="preserve">cognome, nome e data di nascita del paziente, </w:t>
      </w:r>
    </w:p>
    <w:p w14:paraId="468186FA" w14:textId="77777777" w:rsidR="00EF4BEC" w:rsidRDefault="009E2ACD">
      <w:pPr>
        <w:pStyle w:val="AufzhlungPunkt"/>
      </w:pPr>
      <w:r>
        <w:t>data del prelievo del campione,</w:t>
      </w:r>
    </w:p>
    <w:p w14:paraId="7223FCC9" w14:textId="77777777" w:rsidR="00EF4BEC" w:rsidRDefault="009E2ACD">
      <w:pPr>
        <w:pStyle w:val="AufzhlungPunkt"/>
      </w:pPr>
      <w:r>
        <w:t xml:space="preserve">data delle analisi svolte, </w:t>
      </w:r>
    </w:p>
    <w:p w14:paraId="69A58E4C" w14:textId="77777777" w:rsidR="00EF4BEC" w:rsidRDefault="009E2ACD">
      <w:pPr>
        <w:pStyle w:val="AufzhlungPunkt"/>
      </w:pPr>
      <w:r>
        <w:t xml:space="preserve">risultati delle analisi, </w:t>
      </w:r>
    </w:p>
    <w:p w14:paraId="0F50ED60" w14:textId="20BA4C1E" w:rsidR="00EF4BEC" w:rsidRDefault="009E2ACD">
      <w:pPr>
        <w:pStyle w:val="AufzhlungPunkt"/>
      </w:pPr>
      <w:r>
        <w:t xml:space="preserve">gli anticorpi non più evidenziabili devono essere anch’essi segnalati nel </w:t>
      </w:r>
      <w:r w:rsidR="00204A64">
        <w:t>rapporto</w:t>
      </w:r>
      <w:r>
        <w:t xml:space="preserve">, </w:t>
      </w:r>
    </w:p>
    <w:p w14:paraId="2EAF47B4" w14:textId="77777777" w:rsidR="00EF4BEC" w:rsidRDefault="009E2ACD">
      <w:pPr>
        <w:pStyle w:val="AufzhlungPunkt"/>
      </w:pPr>
      <w:r>
        <w:t xml:space="preserve">interpretazione e valutazione delle analisi, </w:t>
      </w:r>
    </w:p>
    <w:p w14:paraId="155E9757" w14:textId="77777777" w:rsidR="00EF4BEC" w:rsidRDefault="009E2ACD">
      <w:pPr>
        <w:pStyle w:val="AufzhlungPunkt"/>
      </w:pPr>
      <w:r>
        <w:t>data e firma/visto della persona responsabile della convalida (o alternativa elettronica) o del suo sostituto,</w:t>
      </w:r>
    </w:p>
    <w:p w14:paraId="68E09B00" w14:textId="77777777" w:rsidR="00EF4BEC" w:rsidRDefault="009E2ACD">
      <w:pPr>
        <w:pStyle w:val="AufzhlungPunkt"/>
      </w:pPr>
      <w:r>
        <w:t>è auspicabile specificare i metodi utilizzati.</w:t>
      </w:r>
    </w:p>
    <w:p w14:paraId="0BA74A43" w14:textId="77777777" w:rsidR="00EF4BEC" w:rsidRDefault="009E2ACD" w:rsidP="00B83906">
      <w:pPr>
        <w:pStyle w:val="berschrift3"/>
      </w:pPr>
      <w:bookmarkStart w:id="97" w:name="_Toc161749126"/>
      <w:r>
        <w:t>Tessera del gruppo sanguigno</w:t>
      </w:r>
      <w:bookmarkEnd w:id="97"/>
      <w:r>
        <w:t xml:space="preserve"> </w:t>
      </w:r>
    </w:p>
    <w:p w14:paraId="2BD89819" w14:textId="77777777" w:rsidR="00EF4BEC" w:rsidRDefault="009E2ACD">
      <w:pPr>
        <w:pStyle w:val="AufzhlungPunkt"/>
      </w:pPr>
      <w:r>
        <w:t>Esigenze minime per la tessera del gruppo sanguigno:</w:t>
      </w:r>
    </w:p>
    <w:p w14:paraId="2F4FD3EB" w14:textId="77777777" w:rsidR="00EF4BEC" w:rsidRDefault="009E2ACD">
      <w:pPr>
        <w:pStyle w:val="AufzhlungStrich"/>
      </w:pPr>
      <w:r>
        <w:t xml:space="preserve">cognome, nome, data di nascita completa, </w:t>
      </w:r>
    </w:p>
    <w:p w14:paraId="2481BA3C" w14:textId="1BFCA3E9" w:rsidR="00EF4BEC" w:rsidRDefault="009E2ACD">
      <w:pPr>
        <w:pStyle w:val="AufzhlungStrich"/>
      </w:pPr>
      <w:r>
        <w:t>gruppo sanguigno ABO e RH1, comprese indicazioni su eventuali varianti RH1,</w:t>
      </w:r>
    </w:p>
    <w:p w14:paraId="1FD25DCD" w14:textId="77777777" w:rsidR="00EF4BEC" w:rsidRDefault="009E2ACD">
      <w:pPr>
        <w:pStyle w:val="AufzhlungStrich"/>
      </w:pPr>
      <w:r>
        <w:t>data e firma/visto (o alternativa elettronica),</w:t>
      </w:r>
    </w:p>
    <w:p w14:paraId="64653851" w14:textId="77777777" w:rsidR="00EF4BEC" w:rsidRDefault="009E2ACD">
      <w:pPr>
        <w:pStyle w:val="AufzhlungStrich"/>
      </w:pPr>
      <w:r>
        <w:t>alloanticorpi eritrocitari evidenziati,</w:t>
      </w:r>
    </w:p>
    <w:p w14:paraId="1A2E7A22" w14:textId="77777777" w:rsidR="00EF4BEC" w:rsidRDefault="009E2ACD">
      <w:pPr>
        <w:pStyle w:val="AufzhlungStrich"/>
      </w:pPr>
      <w:r>
        <w:t>la tessera del gruppo sanguigno è valida solamente dopo l’esecuzione della seconda determinazione del gruppo sanguigno (vedi § 4.2.1). Questa indicazione deve essere stampata chiaramente sulla tessera del gruppo sanguigno.</w:t>
      </w:r>
    </w:p>
    <w:p w14:paraId="041023C0" w14:textId="77777777" w:rsidR="00EF4BEC" w:rsidRDefault="009E2ACD">
      <w:pPr>
        <w:pStyle w:val="AufzhlungPunkt"/>
      </w:pPr>
      <w:r>
        <w:t>Esigenze complementari per la tessera del gruppo sanguigno:</w:t>
      </w:r>
    </w:p>
    <w:p w14:paraId="7A383578" w14:textId="4628F39E" w:rsidR="00EF4BEC" w:rsidRDefault="009E2ACD">
      <w:pPr>
        <w:pStyle w:val="AufzhlungStrich"/>
      </w:pPr>
      <w:r>
        <w:t xml:space="preserve">fenotipo RH/KEL1 e altri antigeni del gruppo sanguigno, se noti e se il sistema informatico lo permette, </w:t>
      </w:r>
    </w:p>
    <w:p w14:paraId="596829B0" w14:textId="77777777" w:rsidR="00EF4BEC" w:rsidRDefault="009E2ACD">
      <w:pPr>
        <w:pStyle w:val="AufzhlungStrich"/>
      </w:pPr>
      <w:r>
        <w:t xml:space="preserve">raccomandazioni trasfusionali se necessarie. </w:t>
      </w:r>
    </w:p>
    <w:p w14:paraId="0C1430C3" w14:textId="7D830C60" w:rsidR="00EF4BEC" w:rsidRDefault="009E2ACD">
      <w:pPr>
        <w:pStyle w:val="AufzhlungPunkt"/>
      </w:pPr>
      <w:r>
        <w:t>Il responsabile del laboratorio, il suo sostituto o una persona autorizzata (medico assistente, tecnico in analisi biomediche (TAB), ecc.) emette la tessera del gruppo sanguigno con la sua firma.</w:t>
      </w:r>
    </w:p>
    <w:p w14:paraId="7D9F6AEC" w14:textId="77777777" w:rsidR="00EF4BEC" w:rsidRDefault="00EF4BEC">
      <w:pPr>
        <w:pStyle w:val="AufzhlungStrich"/>
        <w:sectPr w:rsidR="00EF4BEC">
          <w:pgSz w:w="11906" w:h="16838"/>
          <w:pgMar w:top="1418" w:right="1418" w:bottom="1134" w:left="1418" w:header="567" w:footer="0" w:gutter="0"/>
          <w:cols w:space="708"/>
          <w:docGrid w:linePitch="360"/>
        </w:sectPr>
      </w:pPr>
    </w:p>
    <w:p w14:paraId="67D5E7E1" w14:textId="0349ECD6" w:rsidR="00EF4BEC" w:rsidRDefault="009E2ACD">
      <w:pPr>
        <w:pStyle w:val="berschrift1"/>
      </w:pPr>
      <w:bookmarkStart w:id="98" w:name="_Toc161749127"/>
      <w:r>
        <w:lastRenderedPageBreak/>
        <w:t xml:space="preserve">Gravidanza e pediatria </w:t>
      </w:r>
      <w:r w:rsidR="00991D46">
        <w:fldChar w:fldCharType="begin"/>
      </w:r>
      <w:r w:rsidR="00991D46">
        <w:instrText xml:space="preserve"> ADDIN ZOTERO_ITEM CSL_CITATION {"citationID":"T2OPLknG","properties":{"formattedCitation":"[13], [17]","plainCitation":"[13], [17]","noteIndex":0},"citationItems":[{"id":2514,"uris":["http://zotero.org/groups/969572/items/2C3IVTQ6"],"uri":["http://zotero.org/groups/969572/items/2C3IVTQ6"],"itemData":{"id":2514,"type":"article-journal","container-title":"Transfus Med. 26(04)","page":"246-63","title":"Guidelines for blood grouping and antibody testing in pregnancy. British Committee for Standards in Haematology.","author":[{"literal":"White J, Qureshi H, Massey E, Needs M, Byrne G, Daniels G, Allard S"}],"issued":{"date-parts":[["2016",8]]}}},{"id":2510,"uris":["http://zotero.org/groups/969572/items/Y4URCQYL"],"uri":["http://zotero.org/groups/969572/items/Y4URCQYL"],"itemData":{"id":2510,"type":"article-journal","container-title":"Expertenbrief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991D46">
        <w:fldChar w:fldCharType="separate"/>
      </w:r>
      <w:r w:rsidR="00991D46" w:rsidRPr="00991D46">
        <w:rPr>
          <w:rFonts w:cs="Arial"/>
        </w:rPr>
        <w:t>[13], [17]</w:t>
      </w:r>
      <w:bookmarkEnd w:id="98"/>
      <w:r w:rsidR="00991D46">
        <w:fldChar w:fldCharType="end"/>
      </w:r>
    </w:p>
    <w:p w14:paraId="142D7E3B" w14:textId="77777777" w:rsidR="00EF4BEC" w:rsidRDefault="009E2ACD" w:rsidP="00B83906">
      <w:pPr>
        <w:pStyle w:val="berschrift2"/>
      </w:pPr>
      <w:bookmarkStart w:id="99" w:name="_Toc161749128"/>
      <w:r>
        <w:t>Assistenza immunoematologica durante la gravidanza</w:t>
      </w:r>
      <w:bookmarkEnd w:id="99"/>
      <w:r>
        <w:t xml:space="preserve"> </w:t>
      </w:r>
    </w:p>
    <w:p w14:paraId="7BD93D32" w14:textId="793DBFBD" w:rsidR="00991D46" w:rsidRPr="00991D46" w:rsidRDefault="009E2ACD" w:rsidP="00991D46">
      <w:pPr>
        <w:pStyle w:val="berschrift3"/>
      </w:pPr>
      <w:bookmarkStart w:id="100" w:name="_Toc161749129"/>
      <w:r>
        <w:t>Controllo tra la 8</w:t>
      </w:r>
      <w:r>
        <w:rPr>
          <w:vertAlign w:val="superscript"/>
        </w:rPr>
        <w:t>a</w:t>
      </w:r>
      <w:r>
        <w:t xml:space="preserve"> e la 16</w:t>
      </w:r>
      <w:r>
        <w:rPr>
          <w:vertAlign w:val="superscript"/>
        </w:rPr>
        <w:t>a</w:t>
      </w:r>
      <w:r>
        <w:t xml:space="preserve"> settimana di gravidanza</w:t>
      </w:r>
      <w:bookmarkEnd w:id="100"/>
    </w:p>
    <w:p w14:paraId="12FDBAAD" w14:textId="77777777" w:rsidR="00EF4BEC" w:rsidRDefault="009E2ACD">
      <w:pPr>
        <w:pStyle w:val="AufzhlungPunkt"/>
      </w:pPr>
      <w:r>
        <w:t>Determinazione ABO</w:t>
      </w:r>
    </w:p>
    <w:p w14:paraId="2AEF2EF4" w14:textId="765A1FBB" w:rsidR="00EF4BEC" w:rsidRDefault="009E2ACD">
      <w:pPr>
        <w:pStyle w:val="AufzhlungPunkt"/>
      </w:pPr>
      <w:r>
        <w:t>Determinazione antigene RH1</w:t>
      </w:r>
    </w:p>
    <w:p w14:paraId="34E911A5" w14:textId="7A802D30" w:rsidR="00EF4BEC" w:rsidRDefault="009E2ACD">
      <w:pPr>
        <w:pStyle w:val="AufzhlungPunkt"/>
      </w:pPr>
      <w:r>
        <w:t>Determinazione fenotipo RH/KEL1</w:t>
      </w:r>
    </w:p>
    <w:p w14:paraId="6C56B9F6" w14:textId="77777777" w:rsidR="00EF4BEC" w:rsidRDefault="009E2ACD">
      <w:pPr>
        <w:pStyle w:val="AufzhlungPunkt"/>
      </w:pPr>
      <w:r>
        <w:t>RAI</w:t>
      </w:r>
    </w:p>
    <w:p w14:paraId="5628F619" w14:textId="522BF114" w:rsidR="00EF4BEC" w:rsidRDefault="009E2ACD" w:rsidP="00B83906">
      <w:pPr>
        <w:pStyle w:val="berschrift3"/>
      </w:pPr>
      <w:bookmarkStart w:id="101" w:name="_Toc161749130"/>
      <w:r>
        <w:t>Controllo nella 28</w:t>
      </w:r>
      <w:r>
        <w:rPr>
          <w:vertAlign w:val="superscript"/>
        </w:rPr>
        <w:t>a</w:t>
      </w:r>
      <w:r>
        <w:t xml:space="preserve"> settimana di gravidanza</w:t>
      </w:r>
      <w:bookmarkEnd w:id="101"/>
    </w:p>
    <w:p w14:paraId="7C75EDED" w14:textId="50396E61" w:rsidR="00EF4BEC" w:rsidRDefault="009E2ACD">
      <w:pPr>
        <w:rPr>
          <w:rFonts w:cs="Arial"/>
          <w:lang w:val="it-IT"/>
        </w:rPr>
      </w:pPr>
      <w:r>
        <w:rPr>
          <w:rFonts w:cs="Arial"/>
          <w:lang w:val="it-IT"/>
        </w:rPr>
        <w:t>Nella 28</w:t>
      </w:r>
      <w:r>
        <w:rPr>
          <w:rFonts w:cs="Arial"/>
          <w:vertAlign w:val="superscript"/>
          <w:lang w:val="it-IT"/>
        </w:rPr>
        <w:t>a</w:t>
      </w:r>
      <w:r>
        <w:rPr>
          <w:rFonts w:cs="Arial"/>
          <w:lang w:val="it-IT"/>
        </w:rPr>
        <w:t xml:space="preserve"> SG viene svolta una nuova RAI, tenendo presente che nella letteratura l’evidenza per le donne in gravidanza RH1 positive è piuttosto scarsa. Nelle donne in gravidanza RH1 negative il prelievo del sangue deve avvenire prima della profilassi RHIG. </w:t>
      </w:r>
    </w:p>
    <w:p w14:paraId="53359CED" w14:textId="464C7088" w:rsidR="00EF4BEC" w:rsidRDefault="009E2ACD" w:rsidP="00B83906">
      <w:pPr>
        <w:pStyle w:val="berschrift3"/>
      </w:pPr>
      <w:bookmarkStart w:id="102" w:name="_Toc161749131"/>
      <w:r>
        <w:t>Donne in gravidanza con varianti RH1</w:t>
      </w:r>
      <w:bookmarkEnd w:id="102"/>
    </w:p>
    <w:p w14:paraId="4AD20571" w14:textId="3F1CC3B7" w:rsidR="00EF4BEC" w:rsidRDefault="009E2ACD">
      <w:pPr>
        <w:rPr>
          <w:rFonts w:cs="Arial"/>
          <w:lang w:val="it-IT"/>
        </w:rPr>
      </w:pPr>
      <w:r>
        <w:rPr>
          <w:rFonts w:cs="Arial"/>
          <w:lang w:val="it-IT"/>
        </w:rPr>
        <w:t>Per pazienti con antigene RH1</w:t>
      </w:r>
      <w:r w:rsidR="009523AC">
        <w:rPr>
          <w:rFonts w:cs="Arial"/>
          <w:lang w:val="it-IT"/>
        </w:rPr>
        <w:t xml:space="preserve"> </w:t>
      </w:r>
      <w:r>
        <w:rPr>
          <w:rFonts w:cs="Arial"/>
          <w:lang w:val="it-IT"/>
        </w:rPr>
        <w:t>debole determinato con metodi sierologici (vedi § 5.1.3) è opportuna una determinazione in biologia molecolare del genotipo esatto (vedi § 11).</w:t>
      </w:r>
    </w:p>
    <w:p w14:paraId="7627959E" w14:textId="77777777" w:rsidR="00EF4BEC" w:rsidRDefault="009E2ACD" w:rsidP="00B83906">
      <w:pPr>
        <w:pStyle w:val="berschrift3"/>
      </w:pPr>
      <w:bookmarkStart w:id="103" w:name="_Toc161749132"/>
      <w:r>
        <w:t xml:space="preserve">Determinazione fetale </w:t>
      </w:r>
      <w:r>
        <w:rPr>
          <w:i/>
        </w:rPr>
        <w:t>RHD</w:t>
      </w:r>
      <w:r>
        <w:t xml:space="preserve"> da sangue materno</w:t>
      </w:r>
      <w:bookmarkEnd w:id="103"/>
      <w:r>
        <w:t xml:space="preserve"> </w:t>
      </w:r>
    </w:p>
    <w:p w14:paraId="67A3B8DF" w14:textId="671135A3" w:rsidR="00EF4BEC" w:rsidRDefault="009E2ACD">
      <w:pPr>
        <w:rPr>
          <w:rFonts w:cs="Arial"/>
          <w:lang w:val="it-IT"/>
        </w:rPr>
      </w:pPr>
      <w:r>
        <w:rPr>
          <w:rFonts w:cs="Arial"/>
          <w:lang w:val="it-IT"/>
        </w:rPr>
        <w:t>Dalla 18</w:t>
      </w:r>
      <w:r>
        <w:rPr>
          <w:rFonts w:cs="Arial"/>
          <w:vertAlign w:val="superscript"/>
          <w:lang w:val="it-IT"/>
        </w:rPr>
        <w:t>a</w:t>
      </w:r>
      <w:r>
        <w:rPr>
          <w:rFonts w:cs="Arial"/>
          <w:lang w:val="it-IT"/>
        </w:rPr>
        <w:t xml:space="preserve"> SG, se la donna in gravidanza è RH1 negativa, si raccomanda una genotipizzazione </w:t>
      </w:r>
      <w:r>
        <w:rPr>
          <w:rFonts w:cs="Arial"/>
          <w:i/>
          <w:lang w:val="it-IT"/>
        </w:rPr>
        <w:t>RHD</w:t>
      </w:r>
      <w:r w:rsidR="00991D46">
        <w:rPr>
          <w:rFonts w:cs="Arial"/>
          <w:lang w:val="it-IT"/>
        </w:rPr>
        <w:t xml:space="preserve"> fetale dal sangue materno </w:t>
      </w:r>
      <w:r w:rsidR="00991D46">
        <w:rPr>
          <w:rFonts w:cs="Arial"/>
          <w:lang w:val="it-IT"/>
        </w:rPr>
        <w:fldChar w:fldCharType="begin"/>
      </w:r>
      <w:r w:rsidR="00991D46">
        <w:rPr>
          <w:rFonts w:cs="Arial"/>
          <w:lang w:val="it-IT"/>
        </w:rPr>
        <w:instrText xml:space="preserve"> ADDIN ZOTERO_ITEM CSL_CITATION {"citationID":"tJbUZkQv","properties":{"formattedCitation":"[18], [19], [20], [21]","plainCitation":"[18], [19], [20], [21]","noteIndex":0},"citationItems":[{"id":2508,"uris":["http://zotero.org/groups/969572/items/MKEE8WV4"],"uri":["http://zotero.org/groups/969572/items/MKEE8WV4"],"itemData":{"id":2508,"type":"article-journal","container-title":"British Committee for Standards in Haematology. Br J Haematol","page":"175:784-828","title":"Guidelines on transfusion for fetuses, neonates and older children. Addendum  2020","author":[{"literal":"Helen V New, Jennifer Berryman, Paula H B Bolton-Maggs, Carol Cantwell, Elizabeth A Chalmers, Tony Davies, Ruth Gottstein, Andrea Kelleher, Sailesh Kumar, Sarah L Morley, Simon J Stanworth"}],"issued":{"date-parts":[["2016"]]}}},{"id":5410,"uris":["http://zotero.org/groups/969572/items/KVWYND6U"],"uri":["http://zotero.org/groups/969572/items/KVWYND6U"],"itemData":{"id":5410,"type":"article-journal","container-title":"Br J Haematol. 2016","page":"175:784-828","title":"British Society for Haematology Guidelines on transfusion for fetuses, neonates and older children","author":[{"literal":"Helen V New, Simon J Stanworth, Ruth Gottstein, Carol Cantwell, Jennifer Berryman, Elizabeth A Chalmers, Paula H B Bolton-Maggs; BSH Guidelines Transfusion Task Force"}],"issued":{"date-parts":[["2016"]]}}},{"id":2507,"uris":["http://zotero.org/groups/969572/items/EJG5RN43"],"uri":["http://zotero.org/groups/969572/items/EJG5RN43"],"itemData":{"id":2507,"type":"article-journal","title":"Neonatal red blood cell transfusion","author":[{"literal":"Andréanne Villeneuve, Valérie Arsenault, Jacques Lacroix, Marisa"}]}},{"id":5412,"uris":["http://zotero.org/groups/969572/items/QEEIDYKM"],"uri":["http://zotero.org/groups/969572/items/QEEIDYKM"],"itemData":{"id":5412,"type":"article-journal","container-title":"Transfus Clin Biol. 2019","page":"26:195-196","title":"Transfusion in neonates and older children: Principles and updates.","issued":{"date-parts":[["2019"]]}}}],"schema":"https://github.com/citation-style-language/schema/raw/master/csl-citation.json"} </w:instrText>
      </w:r>
      <w:r w:rsidR="00991D46">
        <w:rPr>
          <w:rFonts w:cs="Arial"/>
          <w:lang w:val="it-IT"/>
        </w:rPr>
        <w:fldChar w:fldCharType="separate"/>
      </w:r>
      <w:r w:rsidR="00991D46" w:rsidRPr="00991D46">
        <w:rPr>
          <w:rFonts w:cs="Arial"/>
          <w:lang w:val="it-IT"/>
        </w:rPr>
        <w:t>[18], [19], [20], [21]</w:t>
      </w:r>
      <w:r w:rsidR="00991D46">
        <w:rPr>
          <w:rFonts w:cs="Arial"/>
          <w:lang w:val="it-IT"/>
        </w:rPr>
        <w:fldChar w:fldCharType="end"/>
      </w:r>
      <w:r>
        <w:rPr>
          <w:rFonts w:cs="Arial"/>
          <w:lang w:val="it-IT"/>
        </w:rPr>
        <w:t xml:space="preserve">. Questo test serve a decidere se è indicata una profilassi RHIG. In questo test occorre rispettare rigorosamente le condizioni preanalitiche (è essenziale rivolgersi previamente al laboratorio competente) (vedi § 11). </w:t>
      </w:r>
    </w:p>
    <w:p w14:paraId="0EF82133" w14:textId="3B0C348E" w:rsidR="00EF4BEC" w:rsidRDefault="009E2ACD">
      <w:pPr>
        <w:rPr>
          <w:rFonts w:cs="Arial"/>
          <w:lang w:val="it-IT"/>
        </w:rPr>
      </w:pPr>
      <w:r>
        <w:rPr>
          <w:rFonts w:cs="Arial"/>
          <w:b/>
          <w:lang w:val="it-IT"/>
        </w:rPr>
        <w:t>Nota bene:</w:t>
      </w:r>
      <w:r>
        <w:rPr>
          <w:rFonts w:cs="Arial"/>
          <w:lang w:val="it-IT"/>
        </w:rPr>
        <w:t xml:space="preserve"> se la donna in gravidanza presenta una variante RH1 non è possibile la determinazione fetale </w:t>
      </w:r>
      <w:r>
        <w:rPr>
          <w:rFonts w:cs="Arial"/>
          <w:i/>
          <w:lang w:val="it-IT"/>
        </w:rPr>
        <w:t xml:space="preserve">RHD. </w:t>
      </w:r>
      <w:r>
        <w:rPr>
          <w:rFonts w:cs="Arial"/>
          <w:lang w:val="it-IT"/>
        </w:rPr>
        <w:t>L'analisi non è stata convalidata per le gravidanze gemellari.</w:t>
      </w:r>
    </w:p>
    <w:p w14:paraId="601E615D" w14:textId="77777777" w:rsidR="00EF4BEC" w:rsidRDefault="009E2ACD" w:rsidP="00B83906">
      <w:pPr>
        <w:pStyle w:val="berschrift3"/>
      </w:pPr>
      <w:bookmarkStart w:id="104" w:name="_Toc161749133"/>
      <w:r>
        <w:t>Profilassi con immunoglobulina RH</w:t>
      </w:r>
      <w:bookmarkEnd w:id="104"/>
      <w:r>
        <w:t xml:space="preserve"> </w:t>
      </w:r>
    </w:p>
    <w:p w14:paraId="088A23B3" w14:textId="5E48FCCF" w:rsidR="00EF4BEC" w:rsidRDefault="009E2ACD">
      <w:pPr>
        <w:pStyle w:val="AufzhlungPunkt"/>
      </w:pPr>
      <w:r>
        <w:t>La profilassi RHIG è raccomandata per donne in gravidanza RH1</w:t>
      </w:r>
      <w:r w:rsidR="009523AC">
        <w:t xml:space="preserve"> </w:t>
      </w:r>
      <w:r>
        <w:t>negative.</w:t>
      </w:r>
    </w:p>
    <w:p w14:paraId="3688479F" w14:textId="31176725" w:rsidR="00EF4BEC" w:rsidRDefault="009E2ACD">
      <w:pPr>
        <w:pStyle w:val="AufzhlungPunkt"/>
      </w:pPr>
      <w:r>
        <w:rPr>
          <w:i/>
        </w:rPr>
        <w:t>RHD*01W.1 (RHD*weak D type 1), RHD*01W.2 (RHD*weak D type 2), RHD*01W.3 (RHD*weak D type 3)</w:t>
      </w:r>
      <w:r>
        <w:t xml:space="preserve"> e </w:t>
      </w:r>
      <w:r>
        <w:rPr>
          <w:i/>
        </w:rPr>
        <w:t>RHD*09.04 (RHD*weak D type 4.1)</w:t>
      </w:r>
      <w:r>
        <w:t xml:space="preserve"> sono considerate RH1 positive e non necessitano di una profilassi RHIG.</w:t>
      </w:r>
    </w:p>
    <w:p w14:paraId="25305E14" w14:textId="53667769" w:rsidR="00EF4BEC" w:rsidRDefault="009E2ACD">
      <w:pPr>
        <w:pStyle w:val="AufzhlungPunkt"/>
      </w:pPr>
      <w:r>
        <w:t>Tutte le altre varianti RH1 sono considerate RH1 negative; in questo caso è consigliata la profilassi RHIG (vedi tabella 7.1.5).</w:t>
      </w:r>
    </w:p>
    <w:p w14:paraId="4B95EB66" w14:textId="1CFFD841" w:rsidR="00EF4BEC" w:rsidRDefault="009E2ACD">
      <w:pPr>
        <w:pStyle w:val="AufzhlungPunkt"/>
      </w:pPr>
      <w:r>
        <w:t xml:space="preserve">In mancanza di una chiara evidenza raccomandiamo per il momento di considerare le pazienti con </w:t>
      </w:r>
      <w:r>
        <w:rPr>
          <w:i/>
        </w:rPr>
        <w:t>RHD*09.03.01 (RHD*weak D type 4.0, RHD*DAR3.1)</w:t>
      </w:r>
      <w:r>
        <w:t xml:space="preserve"> come RH1 negative.</w:t>
      </w:r>
    </w:p>
    <w:p w14:paraId="5174827E" w14:textId="51DD8FA7" w:rsidR="00EF4BEC" w:rsidRDefault="009E2ACD">
      <w:pPr>
        <w:rPr>
          <w:rFonts w:cs="Arial"/>
          <w:lang w:val="it-IT"/>
        </w:rPr>
      </w:pPr>
      <w:r>
        <w:rPr>
          <w:rFonts w:cs="Arial"/>
          <w:lang w:val="it-IT"/>
        </w:rPr>
        <w:t>L’iniezione della profilassi RHIG ha lo scopo di evitare l’immunizzazione materna contro il RH1 del feto. La profilassi RHIG è raccomandata intorno alla 28</w:t>
      </w:r>
      <w:r>
        <w:rPr>
          <w:rFonts w:cs="Arial"/>
          <w:vertAlign w:val="superscript"/>
          <w:lang w:val="it-IT"/>
        </w:rPr>
        <w:t>a</w:t>
      </w:r>
      <w:r>
        <w:rPr>
          <w:rFonts w:cs="Arial"/>
          <w:lang w:val="it-IT"/>
        </w:rPr>
        <w:t xml:space="preserve"> SG se il feto è </w:t>
      </w:r>
      <w:r>
        <w:rPr>
          <w:rFonts w:cs="Arial"/>
          <w:iCs/>
          <w:lang w:val="it-IT"/>
        </w:rPr>
        <w:t>RHD1</w:t>
      </w:r>
      <w:r w:rsidR="009523AC">
        <w:rPr>
          <w:rFonts w:cs="Arial"/>
          <w:iCs/>
          <w:lang w:val="it-IT"/>
        </w:rPr>
        <w:t>-</w:t>
      </w:r>
      <w:r>
        <w:rPr>
          <w:rFonts w:cs="Arial"/>
          <w:lang w:val="it-IT"/>
        </w:rPr>
        <w:t>positivo o non noto nonché in caso di complicanze durante la gravidanza (per informazioni più precise</w:t>
      </w:r>
      <w:r w:rsidR="008F64E8">
        <w:rPr>
          <w:rFonts w:cs="Arial"/>
          <w:lang w:val="it-IT"/>
        </w:rPr>
        <w:t xml:space="preserve">: </w:t>
      </w:r>
      <w:r w:rsidR="008F64E8">
        <w:rPr>
          <w:rFonts w:cs="Arial"/>
          <w:lang w:val="it-IT"/>
        </w:rPr>
        <w:fldChar w:fldCharType="begin"/>
      </w:r>
      <w:r w:rsidR="008F64E8">
        <w:rPr>
          <w:rFonts w:cs="Arial"/>
          <w:lang w:val="it-IT"/>
        </w:rPr>
        <w:instrText xml:space="preserve"> ADDIN ZOTERO_ITEM CSL_CITATION {"citationID":"gGX4Qcnl","properties":{"formattedCitation":"[17]","plainCitation":"[17]","noteIndex":0},"citationItems":[{"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8F64E8">
        <w:rPr>
          <w:rFonts w:cs="Arial"/>
          <w:lang w:val="it-IT"/>
        </w:rPr>
        <w:fldChar w:fldCharType="separate"/>
      </w:r>
      <w:r w:rsidR="008F64E8" w:rsidRPr="00583734">
        <w:rPr>
          <w:rFonts w:cs="Arial"/>
          <w:lang w:val="it-IT"/>
        </w:rPr>
        <w:t>[17]</w:t>
      </w:r>
      <w:r w:rsidR="008F64E8">
        <w:rPr>
          <w:rFonts w:cs="Arial"/>
          <w:lang w:val="it-IT"/>
        </w:rPr>
        <w:fldChar w:fldCharType="end"/>
      </w:r>
      <w:r>
        <w:rPr>
          <w:rFonts w:cs="Arial"/>
          <w:lang w:val="it-IT"/>
        </w:rPr>
        <w:t xml:space="preserve">). </w:t>
      </w:r>
    </w:p>
    <w:p w14:paraId="59102EC5" w14:textId="4D6E2D54" w:rsidR="00EF4BEC" w:rsidRDefault="009E2ACD">
      <w:pPr>
        <w:rPr>
          <w:rFonts w:cs="Arial"/>
          <w:lang w:val="it-IT"/>
        </w:rPr>
        <w:sectPr w:rsidR="00EF4BEC">
          <w:pgSz w:w="11906" w:h="16838"/>
          <w:pgMar w:top="1418" w:right="1418" w:bottom="1418" w:left="1418" w:header="425" w:footer="170" w:gutter="0"/>
          <w:cols w:space="708"/>
          <w:docGrid w:linePitch="360"/>
        </w:sectPr>
      </w:pPr>
      <w:r>
        <w:rPr>
          <w:rFonts w:cs="Arial"/>
          <w:lang w:val="it-IT"/>
        </w:rPr>
        <w:t>Dopo la nascita di un bambino RH1 positivo è necessario somministrare una profilassi RHIG postpartum entro le 72 ore</w:t>
      </w:r>
      <w:r w:rsidR="008F64E8">
        <w:rPr>
          <w:rFonts w:cs="Arial"/>
          <w:lang w:val="it-IT"/>
        </w:rPr>
        <w:t xml:space="preserve"> </w:t>
      </w:r>
      <w:r w:rsidR="008F64E8">
        <w:rPr>
          <w:rFonts w:cs="Arial"/>
          <w:lang w:val="it-IT"/>
        </w:rPr>
        <w:fldChar w:fldCharType="begin"/>
      </w:r>
      <w:r w:rsidR="008F64E8">
        <w:rPr>
          <w:rFonts w:cs="Arial"/>
          <w:lang w:val="it-IT"/>
        </w:rPr>
        <w:instrText xml:space="preserve"> ADDIN ZOTERO_ITEM CSL_CITATION {"citationID":"l8LPlzWB","properties":{"formattedCitation":"[17]","plainCitation":"[17]","noteIndex":0},"citationItems":[{"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8F64E8">
        <w:rPr>
          <w:rFonts w:cs="Arial"/>
          <w:lang w:val="it-IT"/>
        </w:rPr>
        <w:fldChar w:fldCharType="separate"/>
      </w:r>
      <w:r w:rsidR="008F64E8" w:rsidRPr="008F64E8">
        <w:rPr>
          <w:rFonts w:cs="Arial"/>
          <w:lang w:val="fr-CH"/>
        </w:rPr>
        <w:t>[17]</w:t>
      </w:r>
      <w:r w:rsidR="008F64E8">
        <w:rPr>
          <w:rFonts w:cs="Arial"/>
          <w:lang w:val="it-IT"/>
        </w:rPr>
        <w:fldChar w:fldCharType="end"/>
      </w:r>
      <w:r>
        <w:rPr>
          <w:rFonts w:cs="Arial"/>
          <w:lang w:val="it-IT"/>
        </w:rPr>
        <w:t>.</w:t>
      </w:r>
    </w:p>
    <w:p w14:paraId="5CDF187A" w14:textId="7AB4EB39" w:rsidR="00EF4BEC" w:rsidRDefault="009E2ACD">
      <w:pPr>
        <w:rPr>
          <w:rFonts w:cs="Arial"/>
          <w:lang w:val="it-IT"/>
        </w:rPr>
      </w:pPr>
      <w:r>
        <w:rPr>
          <w:rFonts w:cs="Arial"/>
          <w:lang w:val="it-IT"/>
        </w:rPr>
        <w:lastRenderedPageBreak/>
        <w:t>Tabella 7.1.5 Profilassi RHIG e varianti RH1</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93"/>
        <w:gridCol w:w="3827"/>
      </w:tblGrid>
      <w:tr w:rsidR="00EF4BEC" w14:paraId="64D9DE79" w14:textId="77777777" w:rsidTr="008F64E8">
        <w:tc>
          <w:tcPr>
            <w:tcW w:w="2268" w:type="dxa"/>
            <w:shd w:val="pct12" w:color="auto" w:fill="auto"/>
          </w:tcPr>
          <w:p w14:paraId="75BAE326" w14:textId="09B0D83B" w:rsidR="00EF4BEC" w:rsidRDefault="009E2ACD" w:rsidP="001D6C23">
            <w:pPr>
              <w:rPr>
                <w:rFonts w:cs="Arial"/>
                <w:b/>
              </w:rPr>
            </w:pPr>
            <w:r>
              <w:rPr>
                <w:rFonts w:cs="Arial"/>
                <w:b/>
              </w:rPr>
              <w:t xml:space="preserve">Fenotipo RH1 </w:t>
            </w:r>
          </w:p>
        </w:tc>
        <w:tc>
          <w:tcPr>
            <w:tcW w:w="2693" w:type="dxa"/>
            <w:shd w:val="pct12" w:color="auto" w:fill="auto"/>
          </w:tcPr>
          <w:p w14:paraId="1DA9190D" w14:textId="77777777" w:rsidR="00EF4BEC" w:rsidRDefault="009E2ACD">
            <w:pPr>
              <w:rPr>
                <w:rFonts w:cs="Arial"/>
                <w:b/>
              </w:rPr>
            </w:pPr>
            <w:r>
              <w:rPr>
                <w:rFonts w:cs="Arial"/>
                <w:b/>
              </w:rPr>
              <w:t>Genotipo</w:t>
            </w:r>
          </w:p>
        </w:tc>
        <w:tc>
          <w:tcPr>
            <w:tcW w:w="3827" w:type="dxa"/>
            <w:shd w:val="pct12" w:color="auto" w:fill="auto"/>
          </w:tcPr>
          <w:p w14:paraId="7B32BF17" w14:textId="77777777" w:rsidR="00EF4BEC" w:rsidRDefault="009E2ACD">
            <w:pPr>
              <w:rPr>
                <w:rFonts w:cs="Arial"/>
                <w:b/>
              </w:rPr>
            </w:pPr>
            <w:r>
              <w:rPr>
                <w:rFonts w:cs="Arial"/>
                <w:b/>
              </w:rPr>
              <w:t xml:space="preserve">Profilassi RHIG in gravidanza </w:t>
            </w:r>
          </w:p>
        </w:tc>
      </w:tr>
      <w:tr w:rsidR="00EF4BEC" w:rsidRPr="00654E10" w14:paraId="17D4EEC3" w14:textId="77777777" w:rsidTr="008F64E8">
        <w:tc>
          <w:tcPr>
            <w:tcW w:w="2268" w:type="dxa"/>
          </w:tcPr>
          <w:p w14:paraId="1538B162" w14:textId="77777777" w:rsidR="00EF4BEC" w:rsidRDefault="009E2ACD">
            <w:pPr>
              <w:rPr>
                <w:rFonts w:cs="Arial"/>
              </w:rPr>
            </w:pPr>
            <w:r>
              <w:rPr>
                <w:rFonts w:cs="Arial"/>
              </w:rPr>
              <w:t>RH:–1 (RhD negativo)</w:t>
            </w:r>
          </w:p>
        </w:tc>
        <w:tc>
          <w:tcPr>
            <w:tcW w:w="2693" w:type="dxa"/>
          </w:tcPr>
          <w:p w14:paraId="3AF9C5E2" w14:textId="77777777" w:rsidR="00EF4BEC" w:rsidRDefault="009E2ACD">
            <w:pPr>
              <w:rPr>
                <w:rFonts w:cs="Arial"/>
              </w:rPr>
            </w:pPr>
            <w:r>
              <w:rPr>
                <w:rFonts w:cs="Arial"/>
              </w:rPr>
              <w:t>NA</w:t>
            </w:r>
          </w:p>
        </w:tc>
        <w:tc>
          <w:tcPr>
            <w:tcW w:w="3827" w:type="dxa"/>
          </w:tcPr>
          <w:p w14:paraId="1B293B4E" w14:textId="77777777" w:rsidR="00EF4BEC" w:rsidRDefault="009E2ACD">
            <w:pPr>
              <w:rPr>
                <w:rFonts w:cs="Arial"/>
                <w:lang w:val="it-IT"/>
              </w:rPr>
            </w:pPr>
            <w:r>
              <w:rPr>
                <w:rFonts w:cs="Arial"/>
                <w:lang w:val="it-IT"/>
              </w:rPr>
              <w:t xml:space="preserve">sì, se il risultato della determinazione fetale </w:t>
            </w:r>
            <w:r>
              <w:rPr>
                <w:rFonts w:cs="Arial"/>
                <w:i/>
                <w:lang w:val="it-IT"/>
              </w:rPr>
              <w:t>RHD</w:t>
            </w:r>
            <w:r>
              <w:rPr>
                <w:rFonts w:cs="Arial"/>
                <w:lang w:val="it-IT"/>
              </w:rPr>
              <w:t xml:space="preserve"> è positiva o non nota </w:t>
            </w:r>
          </w:p>
        </w:tc>
      </w:tr>
      <w:tr w:rsidR="00EF4BEC" w:rsidRPr="00654E10" w14:paraId="203FE726" w14:textId="77777777" w:rsidTr="008F64E8">
        <w:tc>
          <w:tcPr>
            <w:tcW w:w="2268" w:type="dxa"/>
          </w:tcPr>
          <w:p w14:paraId="5ED876FF" w14:textId="6063FFE9" w:rsidR="00EF4BEC" w:rsidRDefault="009E2ACD">
            <w:pPr>
              <w:rPr>
                <w:rFonts w:cs="Arial"/>
                <w:lang w:val="en-US"/>
              </w:rPr>
            </w:pPr>
            <w:r>
              <w:rPr>
                <w:lang w:val="en-US"/>
              </w:rPr>
              <w:t xml:space="preserve">RH:W1/RH:P1 </w:t>
            </w:r>
          </w:p>
        </w:tc>
        <w:tc>
          <w:tcPr>
            <w:tcW w:w="2693" w:type="dxa"/>
          </w:tcPr>
          <w:p w14:paraId="3159EB68" w14:textId="77777777" w:rsidR="00EF4BEC" w:rsidRDefault="009E2ACD">
            <w:pPr>
              <w:rPr>
                <w:rFonts w:cs="Arial"/>
              </w:rPr>
            </w:pPr>
            <w:r>
              <w:rPr>
                <w:rFonts w:cs="Arial"/>
              </w:rPr>
              <w:t>non noto</w:t>
            </w:r>
          </w:p>
        </w:tc>
        <w:tc>
          <w:tcPr>
            <w:tcW w:w="3827" w:type="dxa"/>
          </w:tcPr>
          <w:p w14:paraId="61A8B54B" w14:textId="77777777" w:rsidR="00EF4BEC" w:rsidRDefault="009E2ACD">
            <w:pPr>
              <w:rPr>
                <w:rFonts w:cs="Arial"/>
                <w:lang w:val="it-IT"/>
              </w:rPr>
            </w:pPr>
            <w:r>
              <w:rPr>
                <w:rFonts w:cs="Arial"/>
                <w:lang w:val="it-IT"/>
              </w:rPr>
              <w:t xml:space="preserve">sì, finché non è noto il risultato PCR </w:t>
            </w:r>
          </w:p>
        </w:tc>
      </w:tr>
      <w:tr w:rsidR="00EF4BEC" w14:paraId="766DABD3" w14:textId="77777777" w:rsidTr="008F64E8">
        <w:tc>
          <w:tcPr>
            <w:tcW w:w="2268" w:type="dxa"/>
          </w:tcPr>
          <w:p w14:paraId="4E935BAB" w14:textId="58574F30" w:rsidR="00EF4BEC" w:rsidRDefault="009E2ACD">
            <w:pPr>
              <w:rPr>
                <w:rFonts w:cs="Arial"/>
                <w:lang w:val="en-US"/>
              </w:rPr>
            </w:pPr>
            <w:r>
              <w:rPr>
                <w:lang w:val="en-US"/>
              </w:rPr>
              <w:t xml:space="preserve">RH:W1/RH:P1 </w:t>
            </w:r>
          </w:p>
        </w:tc>
        <w:tc>
          <w:tcPr>
            <w:tcW w:w="2693" w:type="dxa"/>
          </w:tcPr>
          <w:p w14:paraId="0630982D" w14:textId="77777777" w:rsidR="00EF4BEC" w:rsidRDefault="009E2ACD">
            <w:pPr>
              <w:rPr>
                <w:rFonts w:cs="Arial"/>
                <w:i/>
                <w:lang w:val="en-US"/>
              </w:rPr>
            </w:pPr>
            <w:r>
              <w:rPr>
                <w:rFonts w:cs="Arial"/>
                <w:i/>
                <w:lang w:val="en-US"/>
              </w:rPr>
              <w:t xml:space="preserve">RHD*01W.1/.2/.3 (RHD*weak D type 1/2/3), </w:t>
            </w:r>
            <w:r>
              <w:rPr>
                <w:rFonts w:cs="Arial"/>
                <w:lang w:val="en-US"/>
              </w:rPr>
              <w:t>o</w:t>
            </w:r>
            <w:r>
              <w:rPr>
                <w:rFonts w:cs="Arial"/>
                <w:i/>
                <w:lang w:val="en-US"/>
              </w:rPr>
              <w:t xml:space="preserve"> RHD*09.04 (RHD*weak D type 4.1)</w:t>
            </w:r>
          </w:p>
        </w:tc>
        <w:tc>
          <w:tcPr>
            <w:tcW w:w="3827" w:type="dxa"/>
          </w:tcPr>
          <w:p w14:paraId="114A9CCA" w14:textId="77777777" w:rsidR="00EF4BEC" w:rsidRDefault="009E2ACD">
            <w:pPr>
              <w:rPr>
                <w:rFonts w:cs="Arial"/>
              </w:rPr>
            </w:pPr>
            <w:r>
              <w:rPr>
                <w:rFonts w:cs="Arial"/>
              </w:rPr>
              <w:t>no</w:t>
            </w:r>
          </w:p>
        </w:tc>
      </w:tr>
      <w:tr w:rsidR="00EF4BEC" w14:paraId="6D611183" w14:textId="77777777" w:rsidTr="008F64E8">
        <w:tc>
          <w:tcPr>
            <w:tcW w:w="2268" w:type="dxa"/>
          </w:tcPr>
          <w:p w14:paraId="6865B190" w14:textId="2885CA1E" w:rsidR="00EF4BEC" w:rsidRDefault="009E2ACD">
            <w:pPr>
              <w:rPr>
                <w:rFonts w:cs="Arial"/>
                <w:lang w:val="en-US"/>
              </w:rPr>
            </w:pPr>
            <w:r>
              <w:rPr>
                <w:lang w:val="en-US"/>
              </w:rPr>
              <w:t>RH:W1/RH:P1</w:t>
            </w:r>
          </w:p>
        </w:tc>
        <w:tc>
          <w:tcPr>
            <w:tcW w:w="2693" w:type="dxa"/>
          </w:tcPr>
          <w:p w14:paraId="2059E184" w14:textId="77777777" w:rsidR="00EF4BEC" w:rsidRDefault="009E2ACD">
            <w:pPr>
              <w:rPr>
                <w:rFonts w:cs="Arial"/>
                <w:i/>
                <w:lang w:val="en-US"/>
              </w:rPr>
            </w:pPr>
            <w:r>
              <w:rPr>
                <w:rFonts w:cs="Arial"/>
                <w:lang w:val="en-US"/>
              </w:rPr>
              <w:t xml:space="preserve">diverso da </w:t>
            </w:r>
            <w:r>
              <w:rPr>
                <w:rFonts w:cs="Arial"/>
                <w:i/>
                <w:lang w:val="en-US"/>
              </w:rPr>
              <w:t xml:space="preserve">RHD*01W.1/.2/.3 (RHD*weak D type 1/2/3), </w:t>
            </w:r>
            <w:r>
              <w:rPr>
                <w:rFonts w:cs="Arial"/>
                <w:lang w:val="en-US"/>
              </w:rPr>
              <w:t>o</w:t>
            </w:r>
            <w:r>
              <w:rPr>
                <w:rFonts w:cs="Arial"/>
                <w:i/>
                <w:lang w:val="en-US"/>
              </w:rPr>
              <w:t xml:space="preserve"> RHD*09.04 (RHD*weak D type 4.1)</w:t>
            </w:r>
          </w:p>
        </w:tc>
        <w:tc>
          <w:tcPr>
            <w:tcW w:w="3827" w:type="dxa"/>
          </w:tcPr>
          <w:p w14:paraId="332D56A0" w14:textId="77777777" w:rsidR="00EF4BEC" w:rsidRDefault="009E2ACD">
            <w:pPr>
              <w:rPr>
                <w:rFonts w:cs="Arial"/>
              </w:rPr>
            </w:pPr>
            <w:r>
              <w:rPr>
                <w:rFonts w:cs="Arial"/>
              </w:rPr>
              <w:t>sì</w:t>
            </w:r>
          </w:p>
        </w:tc>
      </w:tr>
    </w:tbl>
    <w:p w14:paraId="3FE9C32E" w14:textId="77777777" w:rsidR="00EF4BEC" w:rsidRDefault="00EF4BEC">
      <w:pPr>
        <w:rPr>
          <w:rFonts w:cs="Arial"/>
        </w:rPr>
      </w:pPr>
    </w:p>
    <w:p w14:paraId="05F18778" w14:textId="77777777" w:rsidR="00EF4BEC" w:rsidRDefault="009E2ACD" w:rsidP="00B83906">
      <w:pPr>
        <w:pStyle w:val="berschrift3"/>
      </w:pPr>
      <w:bookmarkStart w:id="105" w:name="_Toc161749134"/>
      <w:r>
        <w:t>Alloanticorpi in gravidanza</w:t>
      </w:r>
      <w:bookmarkEnd w:id="105"/>
      <w:r>
        <w:t xml:space="preserve"> </w:t>
      </w:r>
    </w:p>
    <w:p w14:paraId="1DE6AC36" w14:textId="77777777" w:rsidR="00EF4BEC" w:rsidRDefault="009E2ACD">
      <w:pPr>
        <w:pStyle w:val="AufzhlungPunkt"/>
      </w:pPr>
      <w:r>
        <w:t>Quando si ottiene un risultato positivo della RAI, proseguire con l’identificazione degli alloanticorpi (vedi § 5.3).</w:t>
      </w:r>
    </w:p>
    <w:p w14:paraId="35694E23" w14:textId="77777777" w:rsidR="00EF4BEC" w:rsidRDefault="009E2ACD">
      <w:pPr>
        <w:pStyle w:val="AufzhlungPunkt"/>
      </w:pPr>
      <w:r>
        <w:t>Se vengono individuati alloanticorpi rilevanti per la gravidanza, si raccomanda di analizzare la presenza dell’antigene corrispondente nel padre biologico del bambino.</w:t>
      </w:r>
    </w:p>
    <w:p w14:paraId="23E7693C" w14:textId="77777777" w:rsidR="00EF4BEC" w:rsidRDefault="009E2ACD">
      <w:pPr>
        <w:pStyle w:val="AufzhlungPunkt"/>
      </w:pPr>
      <w:r>
        <w:t>Se gli alloanticorpi identificati sono di importanza clinica per la gravidanza, si raccomanda di monitorare regolarmente il titolo degli alloanticorpi nel corso della gravidanza.</w:t>
      </w:r>
    </w:p>
    <w:p w14:paraId="3A10A078" w14:textId="1832538F" w:rsidR="00204A64" w:rsidRDefault="00204A64" w:rsidP="00204A64">
      <w:pPr>
        <w:pStyle w:val="AufzhlungPunkt"/>
      </w:pPr>
      <w:r>
        <w:t>U</w:t>
      </w:r>
      <w:r w:rsidRPr="00EF4827">
        <w:t>n anticorpo clinicamente irrilevante, come l'anti-Bg, non deve essere ricercato attivamente o escluso.</w:t>
      </w:r>
    </w:p>
    <w:p w14:paraId="7FBCF870" w14:textId="78C811E5" w:rsidR="00EF4BEC" w:rsidRDefault="009E2ACD">
      <w:pPr>
        <w:pStyle w:val="AufzhlungPunkt"/>
      </w:pPr>
      <w:r>
        <w:t>La titolazione deve sempre essere eseguita con il medesimo metodo e, se possibile, dallo stesso laboratorio in parallelo con il campione prelevato precedentemente e conservato in sieroteca. Si raccomanda di indicare il titolo con un numero intero (p. es. titolo 2, 4, 8, ecc.).</w:t>
      </w:r>
    </w:p>
    <w:p w14:paraId="0F93D222" w14:textId="77777777" w:rsidR="00EF4BEC" w:rsidRDefault="009E2ACD">
      <w:pPr>
        <w:pStyle w:val="AufzhlungPunkt"/>
      </w:pPr>
      <w:r>
        <w:t>Si raccomanda di conservare i campioni congelati in sieroteca fino al termine della gravidanza.</w:t>
      </w:r>
    </w:p>
    <w:p w14:paraId="34F11621" w14:textId="2FA7A708" w:rsidR="00EF4BEC" w:rsidRDefault="009E2ACD">
      <w:pPr>
        <w:pStyle w:val="AufzhlungPunkt"/>
      </w:pPr>
      <w:r>
        <w:t>Ogni anti-RH1 evidenziato deve essere confrontato con il contesto clinico perché nell’analisi non è possibile distinguere tra immunizzazione passiva e attiva.</w:t>
      </w:r>
    </w:p>
    <w:p w14:paraId="1FEAB72C" w14:textId="77777777" w:rsidR="00EF4BEC" w:rsidRDefault="009E2ACD" w:rsidP="00B83906">
      <w:pPr>
        <w:pStyle w:val="berschrift2"/>
      </w:pPr>
      <w:bookmarkStart w:id="106" w:name="_Toc161749135"/>
      <w:r>
        <w:t>Analisi sul neonato e sul bambino fino a quattro mesi</w:t>
      </w:r>
      <w:bookmarkEnd w:id="106"/>
    </w:p>
    <w:p w14:paraId="0A81DBE5" w14:textId="77777777" w:rsidR="00EF4BEC" w:rsidRDefault="009E2ACD" w:rsidP="00B83906">
      <w:pPr>
        <w:pStyle w:val="berschrift3"/>
      </w:pPr>
      <w:bookmarkStart w:id="107" w:name="_Toc161749136"/>
      <w:r>
        <w:t>Campioni di sangue</w:t>
      </w:r>
      <w:bookmarkEnd w:id="107"/>
    </w:p>
    <w:p w14:paraId="32DD898E" w14:textId="77777777" w:rsidR="00EF4BEC" w:rsidRDefault="009E2ACD">
      <w:pPr>
        <w:pStyle w:val="AufzhlungPunkt"/>
      </w:pPr>
      <w:r>
        <w:t>I seguenti campioni possono essere usati per la determinazione del gruppo sanguigno e il DAT del neonato:</w:t>
      </w:r>
    </w:p>
    <w:p w14:paraId="77F2CA40" w14:textId="77777777" w:rsidR="00EF4BEC" w:rsidRDefault="009E2ACD">
      <w:pPr>
        <w:pStyle w:val="AufzhlungStrich"/>
      </w:pPr>
      <w:r>
        <w:t>sangue del cordone,</w:t>
      </w:r>
    </w:p>
    <w:p w14:paraId="3845E5E6" w14:textId="77777777" w:rsidR="00EF4BEC" w:rsidRDefault="009E2ACD">
      <w:pPr>
        <w:pStyle w:val="AufzhlungStrich"/>
      </w:pPr>
      <w:r>
        <w:t>sangue capillare o venoso.</w:t>
      </w:r>
    </w:p>
    <w:p w14:paraId="6C916AB7" w14:textId="77777777" w:rsidR="00EF4BEC" w:rsidRDefault="009E2ACD">
      <w:pPr>
        <w:pStyle w:val="AufzhlungPunkt"/>
      </w:pPr>
      <w:r>
        <w:t>Se i risultati ottenuti con il sangue del cordone sono dubbi, occorre lavare gli eritrociti più volte con una soluzione fisiologica tamponata oppure ripetere la determinazione su un prelievo capillare o venoso. Se il problema persiste, inviare il campione ad un laboratorio di riferimento.</w:t>
      </w:r>
    </w:p>
    <w:p w14:paraId="21B7D73B" w14:textId="4DBFB858" w:rsidR="00EF4BEC" w:rsidRDefault="009E2ACD" w:rsidP="00B83906">
      <w:pPr>
        <w:pStyle w:val="berschrift3"/>
      </w:pPr>
      <w:bookmarkStart w:id="108" w:name="_Toc161749137"/>
      <w:r>
        <w:t>Determinazione del gruppo sanguigno ABO e antigene RH1</w:t>
      </w:r>
      <w:bookmarkEnd w:id="108"/>
    </w:p>
    <w:p w14:paraId="24C8C9E0" w14:textId="335B9876" w:rsidR="00EF4BEC" w:rsidRDefault="009E2ACD">
      <w:pPr>
        <w:pStyle w:val="AufzhlungPunkt"/>
      </w:pPr>
      <w:r>
        <w:t>Eseguire unicamente la determinazione degli antigeni del gruppo ABO/RH1 sugli eritrociti in quanto la controprova sierica/plasmatica non è interpretabile.</w:t>
      </w:r>
    </w:p>
    <w:p w14:paraId="45F56F3D" w14:textId="5BF4A9ED" w:rsidR="00EF4BEC" w:rsidRDefault="009E2ACD">
      <w:pPr>
        <w:pStyle w:val="AufzhlungPunkt"/>
      </w:pPr>
      <w:r>
        <w:t>La prima determinazione degli antigeni ABO e RH1 deve essere realizzata con due reattivi diversi (con una doppia determinazione i cui reattivi abbiano almeno un clone diverso). Se il risultato è debolmente positivo si dovrà eseguire un DAT per escludere un falso positivo.</w:t>
      </w:r>
    </w:p>
    <w:p w14:paraId="73B96155" w14:textId="5427D8BD" w:rsidR="00EF4BEC" w:rsidRDefault="009E2ACD">
      <w:pPr>
        <w:pStyle w:val="AufzhlungPunkt"/>
      </w:pPr>
      <w:r>
        <w:t xml:space="preserve">Uno dei due sieri-test RH1 deve poter identificare la variante </w:t>
      </w:r>
      <w:r>
        <w:rPr>
          <w:i/>
        </w:rPr>
        <w:t>RHD*06 (RHD*DVI).</w:t>
      </w:r>
    </w:p>
    <w:p w14:paraId="29D7E27B" w14:textId="77777777" w:rsidR="00EF4BEC" w:rsidRDefault="009E2ACD">
      <w:pPr>
        <w:pStyle w:val="AufzhlungPunkt"/>
      </w:pPr>
      <w:r>
        <w:lastRenderedPageBreak/>
        <w:t>Il sangue del cordone può essere usato unicamente per una prima determinazione del gruppo sanguigno. I risultati devono essere inequivocabili.</w:t>
      </w:r>
    </w:p>
    <w:p w14:paraId="5A18520A" w14:textId="77777777" w:rsidR="00EF4BEC" w:rsidRDefault="009E2ACD">
      <w:pPr>
        <w:pStyle w:val="AufzhlungPunkt"/>
      </w:pPr>
      <w:r>
        <w:t>Non si potrà emettere una tessera di gruppo sanguigno.</w:t>
      </w:r>
    </w:p>
    <w:p w14:paraId="72101CCD" w14:textId="77777777" w:rsidR="00EF4BEC" w:rsidRDefault="009E2ACD" w:rsidP="00B83906">
      <w:pPr>
        <w:pStyle w:val="berschrift3"/>
      </w:pPr>
      <w:bookmarkStart w:id="109" w:name="_Toc161749138"/>
      <w:r>
        <w:t>Test di Coombs diretto</w:t>
      </w:r>
      <w:bookmarkEnd w:id="109"/>
    </w:p>
    <w:p w14:paraId="6F2DD623" w14:textId="77777777" w:rsidR="00EF4BEC" w:rsidRDefault="009E2ACD">
      <w:pPr>
        <w:pStyle w:val="AufzhlungPunkt"/>
      </w:pPr>
      <w:r>
        <w:t>Nel caso di sospetto di una malattia emolitica neonatale (MEN) o di trasfusione, occorre effettuare un DAT.</w:t>
      </w:r>
    </w:p>
    <w:p w14:paraId="4C7CEBAF" w14:textId="77777777" w:rsidR="00EF4BEC" w:rsidRDefault="009E2ACD">
      <w:pPr>
        <w:pStyle w:val="AufzhlungPunkt"/>
      </w:pPr>
      <w:r>
        <w:t>Se il risultato mostra una positività ≥2+ e/o segni di emolisi, occorre eseguire un’eluizione per identificare la specificità dell’anticorpo.</w:t>
      </w:r>
    </w:p>
    <w:p w14:paraId="61C55D67" w14:textId="428BB9FE" w:rsidR="00EF4BEC" w:rsidRDefault="009E2ACD">
      <w:pPr>
        <w:pStyle w:val="AufzhlungPunkt"/>
      </w:pPr>
      <w:r>
        <w:t>Se non sono rilevabili anticorpi nella RAI della madre (e non sono presenti anticorpi con specificità anti-A/-B nell'eluato del bambino) si può prendere in considerazione un TC con il siero/plasma della madre e gli eritrociti del bambino o del padre</w:t>
      </w:r>
      <w:r w:rsidR="00FF70FC">
        <w:t xml:space="preserve"> </w:t>
      </w:r>
      <w:r w:rsidR="00FF70FC" w:rsidRPr="00EF4827">
        <w:t xml:space="preserve">per </w:t>
      </w:r>
      <w:r w:rsidR="00FF70FC" w:rsidRPr="00047D06">
        <w:t>escludere la presenza di un anticorpo contro un antigene a bassa frequenza</w:t>
      </w:r>
      <w:r w:rsidR="00FF70FC" w:rsidRPr="00EF4827">
        <w:t xml:space="preserve"> ("anti-privato") </w:t>
      </w:r>
      <w:r>
        <w:t>(attenzione all'incompatibilità ABO!).</w:t>
      </w:r>
    </w:p>
    <w:p w14:paraId="6B9D1F71" w14:textId="09025963" w:rsidR="00EF4BEC" w:rsidRDefault="009E2ACD">
      <w:pPr>
        <w:pStyle w:val="AufzhlungPunkt"/>
      </w:pPr>
      <w:bookmarkStart w:id="110" w:name="_Hlk153870146"/>
      <w:r>
        <w:t>Se si sospetta un MEN dovuto a un'incompatibilità ABO tra madre e figlio, l'eluato deve essere effettuato con l’aggiunta di almeno una cellula test A o B.</w:t>
      </w:r>
    </w:p>
    <w:p w14:paraId="05CC28E4" w14:textId="179FDEDF" w:rsidR="00EF4BEC" w:rsidRDefault="009E2ACD" w:rsidP="00B83906">
      <w:pPr>
        <w:pStyle w:val="berschrift3"/>
      </w:pPr>
      <w:bookmarkStart w:id="111" w:name="_Toc161749139"/>
      <w:bookmarkEnd w:id="110"/>
      <w:r>
        <w:t xml:space="preserve">Indagini pretrasfusionali </w:t>
      </w:r>
      <w:r w:rsidR="008F64E8">
        <w:fldChar w:fldCharType="begin"/>
      </w:r>
      <w:r w:rsidR="008F64E8">
        <w:instrText xml:space="preserve"> ADDIN ZOTERO_ITEM CSL_CITATION {"citationID":"AS3Yb1cj","properties":{"formattedCitation":"[18], [22]","plainCitation":"[18], [22]","noteIndex":0},"citationItems":[{"id":2508,"uris":["http://zotero.org/groups/969572/items/MKEE8WV4"],"uri":["http://zotero.org/groups/969572/items/MKEE8WV4"],"itemData":{"id":2508,"type":"article-journal","container-title":"British Committee for Standards in Haematology. Br J Haematol","page":"175:784-828","title":"Guidelines on transfusion for fetuses, neonates and older children. Addendum  2020","author":[{"literal":"Helen V New, Jennifer Berryman, Paula H B Bolton-Maggs, Carol Cantwell, Elizabeth A Chalmers, Tony Davies, Ruth Gottstein, Andrea Kelleher, Sailesh Kumar, Sarah L Morley, Simon J Stanworth"}],"issued":{"date-parts":[["2016"]]}}},{"id":2506,"uris":["http://zotero.org/groups/969572/items/AVRLK99G"],"uri":["http://zotero.org/groups/969572/items/AVRLK99G"],"itemData":{"id":2506,"type":"article-journal","container-title":"Vox Sang","page":"96: 62–85","title":"Neonatal transfusions – International Forum","author":[{"literal":"New HV, Stanworth SJ, Engelfriet CP et al."}],"issued":{"date-parts":[["2009"]]}}}],"schema":"https://github.com/citation-style-language/schema/raw/master/csl-citation.json"} </w:instrText>
      </w:r>
      <w:r w:rsidR="008F64E8">
        <w:fldChar w:fldCharType="separate"/>
      </w:r>
      <w:r w:rsidR="008F64E8" w:rsidRPr="008F64E8">
        <w:rPr>
          <w:rFonts w:cs="Arial"/>
        </w:rPr>
        <w:t>[18], [22]</w:t>
      </w:r>
      <w:bookmarkEnd w:id="111"/>
      <w:r w:rsidR="008F64E8">
        <w:fldChar w:fldCharType="end"/>
      </w:r>
    </w:p>
    <w:p w14:paraId="0449699B" w14:textId="77777777" w:rsidR="00EF4BEC" w:rsidRDefault="009E2ACD">
      <w:pPr>
        <w:pStyle w:val="AufzhlungPunkt"/>
      </w:pPr>
      <w:r>
        <w:t>Le analisi vengono eseguite con sangue materno e con sangue del bambino:</w:t>
      </w:r>
    </w:p>
    <w:p w14:paraId="0F650A52" w14:textId="6E901487" w:rsidR="00EF4BEC" w:rsidRDefault="009E2ACD">
      <w:pPr>
        <w:pStyle w:val="AufzhlungStrich"/>
      </w:pPr>
      <w:r>
        <w:t>analisi con sangue materno: ABO/RH1 e RAI,</w:t>
      </w:r>
    </w:p>
    <w:p w14:paraId="3249A94E" w14:textId="28707236" w:rsidR="00EF4BEC" w:rsidRDefault="009E2ACD">
      <w:pPr>
        <w:pStyle w:val="AufzhlungStrich"/>
      </w:pPr>
      <w:r>
        <w:t>analisi con sangue del bambino: ABO/RH1 e DAT,</w:t>
      </w:r>
    </w:p>
    <w:p w14:paraId="4EF0F40B" w14:textId="77777777" w:rsidR="00EF4BEC" w:rsidRDefault="009E2ACD">
      <w:pPr>
        <w:pStyle w:val="AufzhlungStrich"/>
      </w:pPr>
      <w:r>
        <w:t>se non è disponibile sangue materno e il risultato del DAT è positivo, si potrebbe eseguire in via eccezionale anche un’eluizione su sangue del bambino o idealmente una RAI.</w:t>
      </w:r>
    </w:p>
    <w:p w14:paraId="0CCF3A9E" w14:textId="77777777" w:rsidR="00EF4BEC" w:rsidRDefault="009E2ACD" w:rsidP="00B83906">
      <w:pPr>
        <w:pStyle w:val="berschrift3"/>
      </w:pPr>
      <w:bookmarkStart w:id="112" w:name="_Toc161749140"/>
      <w:r>
        <w:t>Risultati</w:t>
      </w:r>
      <w:bookmarkEnd w:id="112"/>
    </w:p>
    <w:p w14:paraId="0508731A" w14:textId="7CDA3C22" w:rsidR="00EF4BEC" w:rsidRDefault="009E2ACD">
      <w:pPr>
        <w:pStyle w:val="AufzhlungPunkt"/>
      </w:pPr>
      <w:r>
        <w:t>Il rilevamento dell’anti-RH1 nel bambino deve essere interpretato nel contesto clinico (immunizzazione passiva o attiva della madre).</w:t>
      </w:r>
    </w:p>
    <w:p w14:paraId="30346CA9" w14:textId="77777777" w:rsidR="00EF4BEC" w:rsidRDefault="009E2ACD">
      <w:pPr>
        <w:pStyle w:val="AufzhlungPunkt"/>
      </w:pPr>
      <w:r>
        <w:t>La determinazione degli antigeni A e B può risultare debolmente positiva.</w:t>
      </w:r>
    </w:p>
    <w:p w14:paraId="66395C6B" w14:textId="77777777" w:rsidR="00EF4BEC" w:rsidRDefault="009E2ACD">
      <w:pPr>
        <w:pStyle w:val="AufzhlungPunkt"/>
      </w:pPr>
      <w:r>
        <w:t>Una presenza importante di anticorpi di origine materna sugli eritrociti del neonato può negativizzare la reazione di agglutinazione. Questo deve essere controllato tramite l’esecuzione di un DAT e la plausibilità del risultato deve essere verificata nel contesto clinico.</w:t>
      </w:r>
    </w:p>
    <w:p w14:paraId="419B6A95" w14:textId="5B41DF3C" w:rsidR="00EF4BEC" w:rsidRDefault="009E2ACD">
      <w:pPr>
        <w:pStyle w:val="AufzhlungPunkt"/>
      </w:pPr>
      <w:r>
        <w:t>La determinazione sierologica o fenotipo esteso del gruppo ABO/RH1 in un prematuro o in un neonato dopo trasfusione intrauterina può dare risultati non corretti.</w:t>
      </w:r>
    </w:p>
    <w:p w14:paraId="0254BDAF" w14:textId="77777777" w:rsidR="00EF4BEC" w:rsidRDefault="009E2ACD" w:rsidP="00B83906">
      <w:pPr>
        <w:pStyle w:val="berschrift2"/>
      </w:pPr>
      <w:bookmarkStart w:id="113" w:name="_Hlk24453257"/>
      <w:bookmarkStart w:id="114" w:name="_Toc161749141"/>
      <w:r>
        <w:t>Analisi nel bambino dai quattro mesi</w:t>
      </w:r>
      <w:bookmarkEnd w:id="113"/>
      <w:bookmarkEnd w:id="114"/>
    </w:p>
    <w:p w14:paraId="07FD971A" w14:textId="77777777" w:rsidR="00EF4BEC" w:rsidRDefault="009E2ACD">
      <w:pPr>
        <w:pStyle w:val="AufzhlungPunkt"/>
      </w:pPr>
      <w:r>
        <w:t>Le analisi immunoematologiche e l’interpretazione dei risultati sono identiche a quelle dell’adulto.</w:t>
      </w:r>
    </w:p>
    <w:p w14:paraId="269A8097" w14:textId="77777777" w:rsidR="00EF4BEC" w:rsidRDefault="009E2ACD">
      <w:pPr>
        <w:pStyle w:val="AufzhlungPunkt"/>
      </w:pPr>
      <w:r>
        <w:t>Si può emettere una tessera di gruppo sanguigno a condizione che:</w:t>
      </w:r>
    </w:p>
    <w:p w14:paraId="1043D78C" w14:textId="091DD672" w:rsidR="00EF4BEC" w:rsidRDefault="009E2ACD">
      <w:pPr>
        <w:pStyle w:val="AufzhlungStrich"/>
      </w:pPr>
      <w:r>
        <w:t>sia stata svolta una determinazione completa degli antigeni AB/RH1 e una controprova sierica, e l’interpretazione dei risultati corrisponda alla tabella 5.1.1,</w:t>
      </w:r>
    </w:p>
    <w:p w14:paraId="15B0D105" w14:textId="77777777" w:rsidR="00EF4BEC" w:rsidRDefault="009E2ACD">
      <w:pPr>
        <w:pStyle w:val="AufzhlungStrich"/>
      </w:pPr>
      <w:r>
        <w:t>nel caso in cui le isoagglutinine o una determinazione completa del gruppo ABO non siano concludenti, può essere eseguito come alternativa un PCR (trasfusione: vedi § 7.4.3, indagine PCR: vedi § 11).</w:t>
      </w:r>
    </w:p>
    <w:p w14:paraId="3B4F5CA9" w14:textId="77777777" w:rsidR="00EF4BEC" w:rsidRDefault="009E2ACD" w:rsidP="00B83906">
      <w:pPr>
        <w:pStyle w:val="berschrift2"/>
      </w:pPr>
      <w:bookmarkStart w:id="115" w:name="_Toc161749142"/>
      <w:r>
        <w:t>Trasfusioni nel bambino</w:t>
      </w:r>
      <w:bookmarkEnd w:id="115"/>
    </w:p>
    <w:p w14:paraId="6EA28530" w14:textId="77777777" w:rsidR="00EF4BEC" w:rsidRDefault="009E2ACD" w:rsidP="00B83906">
      <w:pPr>
        <w:pStyle w:val="berschrift3"/>
      </w:pPr>
      <w:bookmarkStart w:id="116" w:name="_Toc161749143"/>
      <w:r>
        <w:t>Trasfusione intrauterina</w:t>
      </w:r>
      <w:bookmarkEnd w:id="116"/>
      <w:r>
        <w:t xml:space="preserve"> </w:t>
      </w:r>
    </w:p>
    <w:p w14:paraId="6BDC7706" w14:textId="77777777" w:rsidR="00EF4BEC" w:rsidRDefault="009E2ACD">
      <w:pPr>
        <w:rPr>
          <w:rFonts w:cs="Arial"/>
          <w:lang w:val="it-IT"/>
        </w:rPr>
      </w:pPr>
      <w:r>
        <w:rPr>
          <w:rFonts w:cs="Arial"/>
          <w:lang w:val="it-IT"/>
        </w:rPr>
        <w:t>Le indagini immunoematologiche e la preparazione di sangue per le trasfusioni intrauterine devono essere svolte da un laboratorio specializzato.</w:t>
      </w:r>
    </w:p>
    <w:p w14:paraId="03CF134D" w14:textId="77777777" w:rsidR="00EF4BEC" w:rsidRDefault="009E2ACD">
      <w:pPr>
        <w:rPr>
          <w:rFonts w:cs="Arial"/>
          <w:lang w:val="it-IT"/>
        </w:rPr>
      </w:pPr>
      <w:r>
        <w:rPr>
          <w:rFonts w:cs="Arial"/>
          <w:lang w:val="it-IT"/>
        </w:rPr>
        <w:t>In situazioni normali per la trasfusione di CE valgono le seguenti regole.</w:t>
      </w:r>
    </w:p>
    <w:p w14:paraId="3A2416AA" w14:textId="77777777" w:rsidR="00EF4BEC" w:rsidRDefault="009E2ACD">
      <w:pPr>
        <w:pStyle w:val="AufzhlungPunkt"/>
      </w:pPr>
      <w:r>
        <w:t>Somministrare CE di gruppo O.</w:t>
      </w:r>
    </w:p>
    <w:p w14:paraId="15863940" w14:textId="37E563FA" w:rsidR="00EF4BEC" w:rsidRDefault="009E2ACD">
      <w:pPr>
        <w:pStyle w:val="AufzhlungPunkt"/>
      </w:pPr>
      <w:r>
        <w:lastRenderedPageBreak/>
        <w:t>Gli antigeni RH1 e del fenotipo RH/KEL1 devono essere compatibili con il sangue materno. Dovrebbero essere presi in considerazione anche altri antigeni della madre (JK1 [Jk</w:t>
      </w:r>
      <w:r>
        <w:rPr>
          <w:vertAlign w:val="superscript"/>
        </w:rPr>
        <w:t>a</w:t>
      </w:r>
      <w:r>
        <w:t>], JK2 [Jk</w:t>
      </w:r>
      <w:r>
        <w:rPr>
          <w:vertAlign w:val="superscript"/>
        </w:rPr>
        <w:t>b</w:t>
      </w:r>
      <w:r>
        <w:t>], FY1 [Fy</w:t>
      </w:r>
      <w:r>
        <w:rPr>
          <w:vertAlign w:val="superscript"/>
        </w:rPr>
        <w:t>a</w:t>
      </w:r>
      <w:r>
        <w:t>], FY2 [Fy</w:t>
      </w:r>
      <w:r>
        <w:rPr>
          <w:vertAlign w:val="superscript"/>
        </w:rPr>
        <w:t>b</w:t>
      </w:r>
      <w:r>
        <w:t>], MNS3 [S], MNS4 [s]).</w:t>
      </w:r>
    </w:p>
    <w:p w14:paraId="594EF649" w14:textId="77777777" w:rsidR="00EF4BEC" w:rsidRDefault="009E2ACD">
      <w:pPr>
        <w:pStyle w:val="AufzhlungPunkt"/>
      </w:pPr>
      <w:r>
        <w:t>Devono essere trasfusi CE compatibili con eventuali alloanticorpi presenti nel sangue materno e negativi nel test di compatibilità.</w:t>
      </w:r>
    </w:p>
    <w:p w14:paraId="454B248A" w14:textId="77777777" w:rsidR="00EF4BEC" w:rsidRDefault="009E2ACD">
      <w:pPr>
        <w:pStyle w:val="AufzhlungPunkt"/>
      </w:pPr>
      <w:r>
        <w:t>Nel caso di trasfusioni intrauterine devono essere somministrati CE irradiati e iperconcentrati (ematocrito 70-85%).</w:t>
      </w:r>
    </w:p>
    <w:p w14:paraId="6EC589B0" w14:textId="77777777" w:rsidR="00EF4BEC" w:rsidRPr="008F64E8" w:rsidRDefault="009E2ACD">
      <w:pPr>
        <w:pStyle w:val="AufzhlungPunkt"/>
      </w:pPr>
      <w:r w:rsidRPr="008F64E8">
        <w:t>Utilizzare CE con un corto periodo di conservazione (ideale non più vecchi di 5 giorni).</w:t>
      </w:r>
    </w:p>
    <w:p w14:paraId="2B4010B0" w14:textId="125A3E20" w:rsidR="00EF4BEC" w:rsidRPr="008F64E8" w:rsidRDefault="009E2ACD" w:rsidP="00B83906">
      <w:pPr>
        <w:pStyle w:val="berschrift3"/>
      </w:pPr>
      <w:bookmarkStart w:id="117" w:name="_Toc161749144"/>
      <w:r w:rsidRPr="008F64E8">
        <w:t xml:space="preserve">Trasfusione nei prematuri, nei neonati e bambini fino a 4 mesi </w:t>
      </w:r>
      <w:r w:rsidR="008F64E8" w:rsidRPr="008F64E8">
        <w:fldChar w:fldCharType="begin"/>
      </w:r>
      <w:r w:rsidR="008F64E8" w:rsidRPr="008F64E8">
        <w:instrText xml:space="preserve"> ADDIN ZOTERO_ITEM CSL_CITATION {"citationID":"p9JoHSXn","properties":{"formattedCitation":"[18], [22]","plainCitation":"[18], [22]","noteIndex":0},"citationItems":[{"id":2508,"uris":["http://zotero.org/groups/969572/items/MKEE8WV4"],"uri":["http://zotero.org/groups/969572/items/MKEE8WV4"],"itemData":{"id":2508,"type":"article-journal","container-title":"British Committee for Standards in Haematology. Br J Haematol","page":"175:784-828","title":"Guidelines on transfusion for fetuses, neonates and older children. Addendum  2020","author":[{"literal":"Helen V New, Jennifer Berryman, Paula H B Bolton-Maggs, Carol Cantwell, Elizabeth A Chalmers, Tony Davies, Ruth Gottstein, Andrea Kelleher, Sailesh Kumar, Sarah L Morley, Simon J Stanworth"}],"issued":{"date-parts":[["2016"]]}}},{"id":2506,"uris":["http://zotero.org/groups/969572/items/AVRLK99G"],"uri":["http://zotero.org/groups/969572/items/AVRLK99G"],"itemData":{"id":2506,"type":"article-journal","container-title":"Vox Sang","page":"96: 62–85","title":"Neonatal transfusions – International Forum","author":[{"literal":"New HV, Stanworth SJ, Engelfriet CP et al."}],"issued":{"date-parts":[["2009"]]}}}],"schema":"https://github.com/citation-style-language/schema/raw/master/csl-citation.json"} </w:instrText>
      </w:r>
      <w:r w:rsidR="008F64E8" w:rsidRPr="008F64E8">
        <w:fldChar w:fldCharType="separate"/>
      </w:r>
      <w:r w:rsidR="008F64E8" w:rsidRPr="008F64E8">
        <w:rPr>
          <w:rFonts w:cs="Arial"/>
        </w:rPr>
        <w:t>[18], [22]</w:t>
      </w:r>
      <w:bookmarkEnd w:id="117"/>
      <w:r w:rsidR="008F64E8" w:rsidRPr="008F64E8">
        <w:fldChar w:fldCharType="end"/>
      </w:r>
    </w:p>
    <w:p w14:paraId="53CCEB34" w14:textId="77777777" w:rsidR="00EF4BEC" w:rsidRDefault="009E2ACD">
      <w:pPr>
        <w:rPr>
          <w:rFonts w:cs="Arial"/>
          <w:lang w:val="it-IT"/>
        </w:rPr>
      </w:pPr>
      <w:r w:rsidRPr="008F64E8">
        <w:rPr>
          <w:rFonts w:cs="Arial"/>
          <w:lang w:val="it-IT"/>
        </w:rPr>
        <w:t>Valgono</w:t>
      </w:r>
      <w:r>
        <w:rPr>
          <w:rFonts w:cs="Arial"/>
          <w:lang w:val="it-IT"/>
        </w:rPr>
        <w:t xml:space="preserve"> le seguenti regole.</w:t>
      </w:r>
    </w:p>
    <w:p w14:paraId="77681DBA" w14:textId="77777777" w:rsidR="00EF4BEC" w:rsidRDefault="009E2ACD">
      <w:pPr>
        <w:pStyle w:val="AufzhlungPunkt"/>
      </w:pPr>
      <w:r>
        <w:t>I CE devono essere compatibili con il gruppo ABO della madre e del bambino.</w:t>
      </w:r>
    </w:p>
    <w:p w14:paraId="704961BA" w14:textId="0F5C461D" w:rsidR="00EF4BEC" w:rsidRDefault="009E2ACD">
      <w:pPr>
        <w:pStyle w:val="AufzhlungPunkt"/>
      </w:pPr>
      <w:r>
        <w:t>Prima della prima trasfusione deve essere realizzato un controllo AB/RH1 su un secondo campione. In questo modo si può procedere in sicurezza alla trasfusione con gruppo sanguigno e RH1 identico. Se ciò non fosse possibile si devono somministrare CE di gruppo O.</w:t>
      </w:r>
    </w:p>
    <w:p w14:paraId="4A3711D5" w14:textId="5F89A962" w:rsidR="00EF4BEC" w:rsidRDefault="009E2ACD">
      <w:pPr>
        <w:pStyle w:val="AufzhlungPunkt"/>
      </w:pPr>
      <w:r>
        <w:t>In assenza di anticorpi anti-RH1 materni, la trasfusione di CE deve essere compatibile con il risultato RH1 del bambino.</w:t>
      </w:r>
    </w:p>
    <w:p w14:paraId="3DB3FC8F" w14:textId="77777777" w:rsidR="00EF4BEC" w:rsidRDefault="009E2ACD">
      <w:pPr>
        <w:pStyle w:val="AufzhlungPunkt"/>
      </w:pPr>
      <w:r>
        <w:t>In assenza di anticorpi materni e con DAT negativo del bambino, possono essere trasfusi CE secondo la regola del T&amp;S. In questo caso il T&amp;S può essere prolungato fino alla fine del 4° mese di vita del bambino senza ulteriori indagini pretrasfusionali.</w:t>
      </w:r>
    </w:p>
    <w:p w14:paraId="3CECCE2B" w14:textId="77777777" w:rsidR="00EF4BEC" w:rsidRDefault="009E2ACD">
      <w:pPr>
        <w:pStyle w:val="AufzhlungPunkt"/>
      </w:pPr>
      <w:r>
        <w:t>In presenza di anticorpi materni e/o DAT positivo nel neonato, dopo identificazione degli anticorpi procedere nel modo seguente:</w:t>
      </w:r>
    </w:p>
    <w:p w14:paraId="63AE27C1" w14:textId="77777777" w:rsidR="00EF4BEC" w:rsidRDefault="009E2ACD">
      <w:pPr>
        <w:pStyle w:val="AufzhlungStrich"/>
      </w:pPr>
      <w:r>
        <w:t>alla prima trasfusione eseguire il TC con CE antigene-negativo e siero/plasma materno,</w:t>
      </w:r>
    </w:p>
    <w:p w14:paraId="2B37F2AD" w14:textId="63F53863" w:rsidR="00EF4BEC" w:rsidRDefault="009E2ACD">
      <w:pPr>
        <w:pStyle w:val="AufzhlungStrich"/>
      </w:pPr>
      <w:r>
        <w:t>in caso di ulteriori trasfusioni eseguire il TC con CE antigene-negativo e siero/plasma materno fino alla fine del 4° mese. In alternativa il TC può essere eseguito con siero/plasma del bambino. Se necessario, il siero materno con alloanticorpi può essere congelato per eseguire il CT con CE antigene-negativo.</w:t>
      </w:r>
    </w:p>
    <w:p w14:paraId="1C65AF57" w14:textId="400F090B" w:rsidR="00EF4BEC" w:rsidRDefault="009E2ACD">
      <w:pPr>
        <w:pStyle w:val="AufzhlungPunkt"/>
      </w:pPr>
      <w:r>
        <w:t>Nel caso in cui il DAT del bambino e/o la ricerca anticorpi positiva della mamma confermino senza dubbio la somministrazione di profilassi RHIG (immunizzazione passiva), è possibile rinunciare ad ulteriori T&amp;S fino alla fine del 4° mese di vita (vedi quarto punto dell’elenco). Ulteriori alloanticorpi materni devono essere esclusi nell’identificazione.</w:t>
      </w:r>
    </w:p>
    <w:p w14:paraId="040463F1" w14:textId="19104CA3" w:rsidR="00EF4BEC" w:rsidRDefault="009E2ACD">
      <w:pPr>
        <w:pStyle w:val="AufzhlungPunkt"/>
      </w:pPr>
      <w:r>
        <w:t xml:space="preserve">L’indicazione dell’irradiazione dei CE dipende dall’età del bambino e dal contesto clinico ed è di competenza del medico responsabile </w:t>
      </w:r>
      <w:r w:rsidR="008F64E8">
        <w:fldChar w:fldCharType="begin"/>
      </w:r>
      <w:r w:rsidR="008F64E8">
        <w:instrText xml:space="preserve"> ADDIN ZOTERO_ITEM CSL_CITATION {"citationID":"j7xWk5CL","properties":{"formattedCitation":"[10], [23]","plainCitation":"[10], [23]","noteIndex":0},"citationItems":[{"id":277,"uris":["http://zotero.org/groups/969572/items/HHQ5QWXM"],"uri":["http://zotero.org/groups/969572/items/HHQ5QWXM"],"itemData":{"id":277,"type":"book","edition":"19","ISBN":"978-92-871-8415-3","source":"Google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id":2499,"uris":["http://zotero.org/groups/969572/items/MY7RM623"],"uri":["http://zotero.org/groups/969572/items/MY7RM623"],"itemData":{"id":2499,"type":"article-journal","title":"EudraLex - Volume 4 - Good Manufacturing Practice (GMP) guidelines","URL":"http://ec.europa.eu/health/documents/eudralex/vol-4/index_en.htm","volume":"4"}}],"schema":"https://github.com/citation-style-language/schema/raw/master/csl-citation.json"} </w:instrText>
      </w:r>
      <w:r w:rsidR="008F64E8">
        <w:fldChar w:fldCharType="separate"/>
      </w:r>
      <w:r w:rsidR="008F64E8" w:rsidRPr="008F64E8">
        <w:t>[10], [23]</w:t>
      </w:r>
      <w:r w:rsidR="008F64E8">
        <w:fldChar w:fldCharType="end"/>
      </w:r>
      <w:r w:rsidR="008F64E8">
        <w:t>.</w:t>
      </w:r>
    </w:p>
    <w:p w14:paraId="377AC508" w14:textId="77777777" w:rsidR="00EF4BEC" w:rsidRDefault="009E2ACD">
      <w:pPr>
        <w:pStyle w:val="AufzhlungPunkt"/>
      </w:pPr>
      <w:r>
        <w:t>Utilizzare CE con un corto periodo di conservazione, ideale non più vecchi di 5 giorni. Nel caso di trasfusione di prodotti più vecchi di 5 giorni la situazione clinica deve essere precedentemente discussa con il medico responsabile, per evitare complicazioni come il rischio di ipercaliemia.</w:t>
      </w:r>
    </w:p>
    <w:p w14:paraId="7BE58B62" w14:textId="77777777" w:rsidR="00EF4BEC" w:rsidRDefault="009E2ACD">
      <w:pPr>
        <w:pStyle w:val="AufzhlungPunkt"/>
      </w:pPr>
      <w:r>
        <w:t>Per trasfusioni di PFC selezionare unità di gruppo AB.</w:t>
      </w:r>
    </w:p>
    <w:p w14:paraId="302139BF" w14:textId="77777777" w:rsidR="00EF4BEC" w:rsidRDefault="009E2ACD" w:rsidP="00B83906">
      <w:pPr>
        <w:pStyle w:val="berschrift3"/>
      </w:pPr>
      <w:bookmarkStart w:id="118" w:name="_Toc161749145"/>
      <w:r>
        <w:t>Trasfusione nei bambini (dai 5 ai 12 mesi)</w:t>
      </w:r>
      <w:bookmarkEnd w:id="118"/>
    </w:p>
    <w:p w14:paraId="05B113B4" w14:textId="77777777" w:rsidR="00EF4BEC" w:rsidRDefault="009E2ACD">
      <w:pPr>
        <w:rPr>
          <w:rFonts w:cs="Arial"/>
          <w:lang w:val="it-IT"/>
        </w:rPr>
      </w:pPr>
      <w:r>
        <w:rPr>
          <w:rFonts w:cs="Arial"/>
          <w:lang w:val="it-IT"/>
        </w:rPr>
        <w:t>Valgono le seguenti regole.</w:t>
      </w:r>
    </w:p>
    <w:p w14:paraId="754DA685" w14:textId="72D1D7CC" w:rsidR="00EF4BEC" w:rsidRDefault="009E2ACD">
      <w:pPr>
        <w:pStyle w:val="AufzhlungPunkt"/>
      </w:pPr>
      <w:r>
        <w:t>Nei bambini sopra i 4 mesi nei quali le isoagglutinine sono ancora assenti e una determinazione completa del gruppo sanguigno ABO non è possibile, si possono trasfondere CE di gruppo ABO/RH1 identico e plasma di gruppo AB. Considerare se procedere all’esecuzione di un PCR ABO (vedi § 11).</w:t>
      </w:r>
    </w:p>
    <w:p w14:paraId="3EFA3D1E" w14:textId="77777777" w:rsidR="00EF4BEC" w:rsidRDefault="009E2ACD" w:rsidP="00B83906">
      <w:pPr>
        <w:pStyle w:val="berschrift3"/>
        <w:sectPr w:rsidR="00EF4BEC">
          <w:pgSz w:w="11906" w:h="16838"/>
          <w:pgMar w:top="1418" w:right="1418" w:bottom="1418" w:left="1418" w:header="425" w:footer="170" w:gutter="0"/>
          <w:cols w:space="708"/>
          <w:docGrid w:linePitch="360"/>
        </w:sectPr>
      </w:pPr>
      <w:bookmarkStart w:id="119" w:name="_Toc161749146"/>
      <w:r>
        <w:t>Exanguinotrasfusioni vedi § 9.2</w:t>
      </w:r>
      <w:bookmarkEnd w:id="119"/>
    </w:p>
    <w:p w14:paraId="21078B08" w14:textId="77777777" w:rsidR="00EF4BEC" w:rsidRDefault="009E2ACD">
      <w:pPr>
        <w:pStyle w:val="berschrift1"/>
      </w:pPr>
      <w:bookmarkStart w:id="120" w:name="_Toc161749147"/>
      <w:r>
        <w:lastRenderedPageBreak/>
        <w:t>Scelta del gruppo sanguigno dei prodotti sanguigni labili</w:t>
      </w:r>
      <w:bookmarkEnd w:id="120"/>
    </w:p>
    <w:p w14:paraId="396D714C" w14:textId="77777777" w:rsidR="00EF4BEC" w:rsidRDefault="009E2ACD" w:rsidP="00B83906">
      <w:pPr>
        <w:pStyle w:val="berschrift2"/>
      </w:pPr>
      <w:bookmarkStart w:id="121" w:name="_Toc161749148"/>
      <w:r>
        <w:t>Scelta del gruppo sanguigno dei CE</w:t>
      </w:r>
      <w:bookmarkEnd w:id="121"/>
    </w:p>
    <w:p w14:paraId="108F242D" w14:textId="77777777" w:rsidR="0062084C" w:rsidRPr="00EF4827" w:rsidRDefault="0062084C" w:rsidP="0062084C">
      <w:pPr>
        <w:ind w:left="567"/>
        <w:rPr>
          <w:rFonts w:cs="Arial"/>
          <w:lang w:val="it-IT"/>
        </w:rPr>
      </w:pPr>
      <w:r w:rsidRPr="00EF4827">
        <w:rPr>
          <w:rFonts w:cs="Arial"/>
          <w:lang w:val="it-IT"/>
        </w:rPr>
        <w:t>Il laboratorio, nel limite del possibile, è responsabile della trasfusione di concentrati di globuli rossi ABO e RH1 identici.</w:t>
      </w:r>
    </w:p>
    <w:p w14:paraId="5E6B8200" w14:textId="77777777" w:rsidR="0062084C" w:rsidRPr="007976FF" w:rsidRDefault="0062084C" w:rsidP="00047D06">
      <w:pPr>
        <w:ind w:left="567"/>
        <w:rPr>
          <w:rFonts w:cs="Arial"/>
          <w:lang w:val="it-IT"/>
        </w:rPr>
      </w:pPr>
      <w:r w:rsidRPr="00EF4827">
        <w:rPr>
          <w:rFonts w:cs="Arial"/>
          <w:b/>
          <w:bCs/>
          <w:lang w:val="it-IT"/>
        </w:rPr>
        <w:t>Attenzione</w:t>
      </w:r>
      <w:r w:rsidRPr="00EF4827">
        <w:rPr>
          <w:rFonts w:cs="Arial"/>
          <w:lang w:val="it-IT"/>
        </w:rPr>
        <w:t>: questa procedura è necessaria per evitare che i pazienti, soprattutto quelli con gruppo sanguigno O RH1 negativo o alloimmunizzati, siano svantaggiati a causa della mancanza di CE compatibili.</w:t>
      </w:r>
    </w:p>
    <w:p w14:paraId="3CB5A0AA" w14:textId="77777777" w:rsidR="0062084C" w:rsidRPr="00047D06" w:rsidRDefault="0062084C" w:rsidP="00047D06">
      <w:pPr>
        <w:rPr>
          <w:lang w:val="it-IT"/>
        </w:rPr>
      </w:pPr>
    </w:p>
    <w:p w14:paraId="36A03DB6" w14:textId="77777777" w:rsidR="00EF4BEC" w:rsidRDefault="009E2ACD" w:rsidP="00B83906">
      <w:pPr>
        <w:pStyle w:val="berschrift3"/>
      </w:pPr>
      <w:bookmarkStart w:id="122" w:name="_Toc161749149"/>
      <w:r>
        <w:t>Scelta del gruppo ABO</w:t>
      </w:r>
      <w:bookmarkEnd w:id="122"/>
    </w:p>
    <w:p w14:paraId="3C6C456F" w14:textId="77777777" w:rsidR="00EF4BEC" w:rsidRDefault="009E2ACD">
      <w:pPr>
        <w:pStyle w:val="AufzhlungPunkt"/>
      </w:pPr>
      <w:r>
        <w:t>Il gruppo ABO dei CE da trasfondere deve essere possibilmente identico a quello del paziente.</w:t>
      </w:r>
    </w:p>
    <w:p w14:paraId="20B096C2" w14:textId="77777777" w:rsidR="00EF4BEC" w:rsidRDefault="009E2ACD">
      <w:pPr>
        <w:pStyle w:val="AufzhlungPunkt"/>
      </w:pPr>
      <w:r>
        <w:t>La distribuzione di CE di gruppo ABO non identico senza particolari situazioni mediche giustificabili e/o per problemi di approvvigionamento deve essere evitata e deve tuttavia rimanere un’eccezione.</w:t>
      </w:r>
    </w:p>
    <w:p w14:paraId="5FAEE75F" w14:textId="77777777" w:rsidR="00EF4BEC" w:rsidRDefault="009E2ACD">
      <w:pPr>
        <w:pStyle w:val="AufzhlungPunkt"/>
      </w:pPr>
      <w:r>
        <w:t>In caso di carenza di CE dello stesso gruppo ABO o se il paziente presenta degli alloanticorpi, è possibile trasfondere dei CE ABO compatibili.</w:t>
      </w:r>
    </w:p>
    <w:p w14:paraId="53EF2338" w14:textId="77777777" w:rsidR="00EF4BEC" w:rsidRDefault="009E2ACD">
      <w:pPr>
        <w:pStyle w:val="AufzhlungPunkt"/>
      </w:pPr>
      <w:r>
        <w:t>Dopo una trasfusione di CE di gruppo ABO non identico si deve ritornare a CE di gruppo ABO identico conformemente allo stato attuale della scienza e della tecnica medica non appena è possibile da un punto di vista medico e in base all’approvvigionamento di sangue. In caso di trasfusioni di massa vedi § 9.4.</w:t>
      </w:r>
    </w:p>
    <w:p w14:paraId="1826F0EA" w14:textId="77777777" w:rsidR="00EF4BEC" w:rsidRDefault="009E2ACD">
      <w:pPr>
        <w:rPr>
          <w:rFonts w:cs="Arial"/>
          <w:lang w:val="it-IT"/>
        </w:rPr>
      </w:pPr>
      <w:r>
        <w:rPr>
          <w:rFonts w:cs="Arial"/>
          <w:lang w:val="it-IT"/>
        </w:rPr>
        <w:t>Tabella 8.1.1 Regole di compatibilità ABO</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3"/>
      </w:tblGrid>
      <w:tr w:rsidR="00EF4BEC" w14:paraId="4C3BE1F6" w14:textId="77777777">
        <w:trPr>
          <w:trHeight w:val="162"/>
        </w:trPr>
        <w:tc>
          <w:tcPr>
            <w:tcW w:w="3510" w:type="dxa"/>
            <w:shd w:val="clear" w:color="auto" w:fill="D9D9D9" w:themeFill="background1" w:themeFillShade="D9"/>
            <w:vAlign w:val="center"/>
          </w:tcPr>
          <w:p w14:paraId="28F5051F" w14:textId="77777777" w:rsidR="00EF4BEC" w:rsidRDefault="009E2ACD">
            <w:pPr>
              <w:rPr>
                <w:rFonts w:cs="Arial"/>
                <w:b/>
              </w:rPr>
            </w:pPr>
            <w:r>
              <w:rPr>
                <w:rFonts w:cs="Arial"/>
                <w:b/>
              </w:rPr>
              <w:t>Gruppo sanguigno del paziente</w:t>
            </w:r>
          </w:p>
        </w:tc>
        <w:tc>
          <w:tcPr>
            <w:tcW w:w="3543" w:type="dxa"/>
            <w:shd w:val="clear" w:color="auto" w:fill="D9D9D9" w:themeFill="background1" w:themeFillShade="D9"/>
            <w:vAlign w:val="center"/>
          </w:tcPr>
          <w:p w14:paraId="5AD22E02" w14:textId="77777777" w:rsidR="00EF4BEC" w:rsidRDefault="009E2ACD">
            <w:pPr>
              <w:rPr>
                <w:rFonts w:cs="Arial"/>
                <w:b/>
              </w:rPr>
            </w:pPr>
            <w:r>
              <w:rPr>
                <w:rFonts w:cs="Arial"/>
                <w:b/>
              </w:rPr>
              <w:t>Gruppo sanguigno dei CE</w:t>
            </w:r>
          </w:p>
        </w:tc>
      </w:tr>
      <w:tr w:rsidR="00EF4BEC" w14:paraId="1CA36109" w14:textId="77777777">
        <w:tc>
          <w:tcPr>
            <w:tcW w:w="3510" w:type="dxa"/>
            <w:shd w:val="clear" w:color="auto" w:fill="auto"/>
          </w:tcPr>
          <w:p w14:paraId="30586F0A" w14:textId="77777777" w:rsidR="00EF4BEC" w:rsidRDefault="009E2ACD">
            <w:pPr>
              <w:rPr>
                <w:rFonts w:cs="Arial"/>
              </w:rPr>
            </w:pPr>
            <w:r>
              <w:rPr>
                <w:rFonts w:cs="Arial"/>
              </w:rPr>
              <w:t>O</w:t>
            </w:r>
          </w:p>
        </w:tc>
        <w:tc>
          <w:tcPr>
            <w:tcW w:w="3543" w:type="dxa"/>
            <w:shd w:val="clear" w:color="auto" w:fill="auto"/>
          </w:tcPr>
          <w:p w14:paraId="4BA88FD9" w14:textId="77777777" w:rsidR="00EF4BEC" w:rsidRDefault="009E2ACD">
            <w:pPr>
              <w:rPr>
                <w:rFonts w:cs="Arial"/>
              </w:rPr>
            </w:pPr>
            <w:r>
              <w:rPr>
                <w:rFonts w:cs="Arial"/>
              </w:rPr>
              <w:t>O</w:t>
            </w:r>
          </w:p>
        </w:tc>
      </w:tr>
      <w:tr w:rsidR="00EF4BEC" w14:paraId="020C6D88" w14:textId="77777777">
        <w:tc>
          <w:tcPr>
            <w:tcW w:w="3510" w:type="dxa"/>
            <w:shd w:val="clear" w:color="auto" w:fill="auto"/>
          </w:tcPr>
          <w:p w14:paraId="42CE4AA5" w14:textId="77777777" w:rsidR="00EF4BEC" w:rsidRDefault="009E2ACD">
            <w:pPr>
              <w:rPr>
                <w:rFonts w:cs="Arial"/>
              </w:rPr>
            </w:pPr>
            <w:r>
              <w:rPr>
                <w:rFonts w:cs="Arial"/>
              </w:rPr>
              <w:t>A</w:t>
            </w:r>
          </w:p>
        </w:tc>
        <w:tc>
          <w:tcPr>
            <w:tcW w:w="3543" w:type="dxa"/>
            <w:shd w:val="clear" w:color="auto" w:fill="auto"/>
          </w:tcPr>
          <w:p w14:paraId="7F127481" w14:textId="77777777" w:rsidR="00EF4BEC" w:rsidRDefault="009E2ACD">
            <w:pPr>
              <w:rPr>
                <w:rFonts w:cs="Arial"/>
              </w:rPr>
            </w:pPr>
            <w:r>
              <w:rPr>
                <w:rFonts w:cs="Arial"/>
              </w:rPr>
              <w:t>A e O</w:t>
            </w:r>
          </w:p>
        </w:tc>
      </w:tr>
      <w:tr w:rsidR="00EF4BEC" w14:paraId="2662229A" w14:textId="77777777">
        <w:tc>
          <w:tcPr>
            <w:tcW w:w="3510" w:type="dxa"/>
            <w:shd w:val="clear" w:color="auto" w:fill="auto"/>
          </w:tcPr>
          <w:p w14:paraId="31D2A6D7" w14:textId="77777777" w:rsidR="00EF4BEC" w:rsidRDefault="009E2ACD">
            <w:pPr>
              <w:rPr>
                <w:rFonts w:cs="Arial"/>
              </w:rPr>
            </w:pPr>
            <w:r>
              <w:rPr>
                <w:rFonts w:cs="Arial"/>
              </w:rPr>
              <w:t>B</w:t>
            </w:r>
          </w:p>
        </w:tc>
        <w:tc>
          <w:tcPr>
            <w:tcW w:w="3543" w:type="dxa"/>
            <w:shd w:val="clear" w:color="auto" w:fill="auto"/>
          </w:tcPr>
          <w:p w14:paraId="795754EE" w14:textId="77777777" w:rsidR="00EF4BEC" w:rsidRDefault="009E2ACD">
            <w:pPr>
              <w:rPr>
                <w:rFonts w:cs="Arial"/>
              </w:rPr>
            </w:pPr>
            <w:r>
              <w:rPr>
                <w:rFonts w:cs="Arial"/>
              </w:rPr>
              <w:t>B e O</w:t>
            </w:r>
          </w:p>
        </w:tc>
      </w:tr>
      <w:tr w:rsidR="00EF4BEC" w14:paraId="0239580F" w14:textId="77777777">
        <w:tc>
          <w:tcPr>
            <w:tcW w:w="3510" w:type="dxa"/>
            <w:shd w:val="clear" w:color="auto" w:fill="auto"/>
          </w:tcPr>
          <w:p w14:paraId="1DD63667" w14:textId="77777777" w:rsidR="00EF4BEC" w:rsidRDefault="009E2ACD">
            <w:pPr>
              <w:rPr>
                <w:rFonts w:cs="Arial"/>
              </w:rPr>
            </w:pPr>
            <w:r>
              <w:rPr>
                <w:rFonts w:cs="Arial"/>
              </w:rPr>
              <w:t>AB</w:t>
            </w:r>
          </w:p>
        </w:tc>
        <w:tc>
          <w:tcPr>
            <w:tcW w:w="3543" w:type="dxa"/>
            <w:shd w:val="clear" w:color="auto" w:fill="auto"/>
          </w:tcPr>
          <w:p w14:paraId="3DF1D9B2" w14:textId="77777777" w:rsidR="00EF4BEC" w:rsidRDefault="009E2ACD">
            <w:pPr>
              <w:rPr>
                <w:rFonts w:cs="Arial"/>
              </w:rPr>
            </w:pPr>
            <w:r>
              <w:rPr>
                <w:rFonts w:cs="Arial"/>
              </w:rPr>
              <w:t>AB, A, B e O</w:t>
            </w:r>
          </w:p>
        </w:tc>
      </w:tr>
    </w:tbl>
    <w:p w14:paraId="6CF3FB7B" w14:textId="77777777" w:rsidR="00EF4BEC" w:rsidRDefault="00EF4BEC">
      <w:pPr>
        <w:rPr>
          <w:rFonts w:cs="Arial"/>
        </w:rPr>
      </w:pPr>
    </w:p>
    <w:p w14:paraId="67039B30" w14:textId="7750A54B" w:rsidR="00EF4BEC" w:rsidRDefault="009E2ACD" w:rsidP="00B83906">
      <w:pPr>
        <w:pStyle w:val="berschrift3"/>
      </w:pPr>
      <w:bookmarkStart w:id="123" w:name="_Toc161749150"/>
      <w:r>
        <w:t>Scelta dell’antigene RH1</w:t>
      </w:r>
      <w:bookmarkEnd w:id="123"/>
    </w:p>
    <w:p w14:paraId="10657ACC" w14:textId="7086C857" w:rsidR="00EF4BEC" w:rsidRDefault="009E2ACD">
      <w:pPr>
        <w:pStyle w:val="AufzhlungPunkt"/>
      </w:pPr>
      <w:r>
        <w:t>Pazienti con un stato antigene RH1 normale (positivo o negativo).</w:t>
      </w:r>
    </w:p>
    <w:p w14:paraId="2024AF57" w14:textId="341851E8" w:rsidR="00EF4BEC" w:rsidRDefault="009E2ACD">
      <w:pPr>
        <w:pStyle w:val="AufzhlungStrich"/>
      </w:pPr>
      <w:r>
        <w:t>Normalmente il paziente viene trasfuso con dei CE RH1 identici, ciò vale soprattutto per le donne di età inferiore a 50 anni. In caso di carenza di CE RH1 identici è possibile trasfondere CE RH1 negativi a pazienti RH1 positivi. Questa situazione deve tuttavia rimanere un’eccezione. Il richiedente deve essere informato della situazione.</w:t>
      </w:r>
    </w:p>
    <w:p w14:paraId="3A675E2B" w14:textId="5974CB11" w:rsidR="00EF4BEC" w:rsidRDefault="009E2ACD" w:rsidP="0062084C">
      <w:pPr>
        <w:pStyle w:val="AufzhlungStrich"/>
      </w:pPr>
      <w:r>
        <w:t>La trasfusione di CE RH1 positivi a pazienti RH1 negativi è possibile in determinate situazioni (vedi § 9.4.2).</w:t>
      </w:r>
      <w:r w:rsidR="0062084C">
        <w:t xml:space="preserve"> </w:t>
      </w:r>
      <w:r w:rsidR="0062084C" w:rsidRPr="00047D06">
        <w:t>Un cambiamento del gruppo sanguigno RH1 deve essere considerato come una trasfusione non corretta e deve essere notificato</w:t>
      </w:r>
      <w:r w:rsidR="0062084C" w:rsidRPr="0062084C">
        <w:t xml:space="preserve"> (Emovigilanza).</w:t>
      </w:r>
    </w:p>
    <w:p w14:paraId="2A946EFD" w14:textId="1F3F7B1B" w:rsidR="00EF4BEC" w:rsidRDefault="009E2ACD">
      <w:pPr>
        <w:pStyle w:val="AufzhlungPunkt"/>
      </w:pPr>
      <w:r>
        <w:t>Pazienti con RH1 debole determinato con metodi sierologici</w:t>
      </w:r>
    </w:p>
    <w:p w14:paraId="1B72B1CF" w14:textId="77777777" w:rsidR="00EF4BEC" w:rsidRDefault="009E2ACD">
      <w:pPr>
        <w:pStyle w:val="AufzhlungStrich"/>
      </w:pPr>
      <w:r>
        <w:t>Senza indagini di genetica molecolare</w:t>
      </w:r>
    </w:p>
    <w:p w14:paraId="1A1C1A22" w14:textId="1A474003" w:rsidR="00EF4BEC" w:rsidRDefault="009E2ACD">
      <w:pPr>
        <w:pStyle w:val="AufzhlungQuadrat"/>
      </w:pPr>
      <w:r>
        <w:t>Uomini e donne &gt;50 anni possono essere trasfusi con CE RH1 positivi, a patto che non siano presenti alloanticorpi anti-RH1.</w:t>
      </w:r>
    </w:p>
    <w:p w14:paraId="43234C37" w14:textId="3A6F62BF" w:rsidR="00EF4BEC" w:rsidRDefault="009E2ACD">
      <w:pPr>
        <w:pStyle w:val="AufzhlungQuadrat"/>
      </w:pPr>
      <w:r>
        <w:t>Le bambine e le donne fino a 50 anni devono essere trasfuse con dei CE RH1 negativi.</w:t>
      </w:r>
    </w:p>
    <w:p w14:paraId="3C2FA6DC" w14:textId="77777777" w:rsidR="00EF4BEC" w:rsidRDefault="009E2ACD">
      <w:pPr>
        <w:pStyle w:val="AufzhlungStrich"/>
      </w:pPr>
      <w:r>
        <w:t>Dopo indagini di genetica molecolare</w:t>
      </w:r>
    </w:p>
    <w:p w14:paraId="0B210756" w14:textId="5E2C00F1" w:rsidR="00EF4BEC" w:rsidRDefault="009E2ACD">
      <w:pPr>
        <w:pStyle w:val="AufzhlungQuadrat"/>
      </w:pPr>
      <w:r>
        <w:t xml:space="preserve">In presenza degli alleli </w:t>
      </w:r>
      <w:r>
        <w:rPr>
          <w:i/>
        </w:rPr>
        <w:t>RHD*01W.1 (RHD*weak D type 1), RHD*01W.2 (RHD*weak D type 2), RHD*01W.3 (RHD*weak D type 3)</w:t>
      </w:r>
      <w:r>
        <w:t xml:space="preserve"> o </w:t>
      </w:r>
      <w:r>
        <w:rPr>
          <w:i/>
        </w:rPr>
        <w:t>RHD*09.04 (RHD*weak D type 4.1)</w:t>
      </w:r>
      <w:r>
        <w:t xml:space="preserve"> si utilizzeranno CE RH1 positivi; ciò vale anche per le donne al di sotto di 50 anni. </w:t>
      </w:r>
    </w:p>
    <w:p w14:paraId="0D2337AD" w14:textId="2FCA8A18" w:rsidR="00EF4BEC" w:rsidRDefault="009E2ACD">
      <w:pPr>
        <w:pStyle w:val="AufzhlungQuadrat"/>
      </w:pPr>
      <w:r>
        <w:lastRenderedPageBreak/>
        <w:t>Per tutte le altre varianti RH1 si utilizzeranno CE RH1 negativi.</w:t>
      </w:r>
    </w:p>
    <w:p w14:paraId="128A1998" w14:textId="7BCA6CC9" w:rsidR="008F64E8" w:rsidRDefault="009E2ACD" w:rsidP="00CD550C">
      <w:pPr>
        <w:pStyle w:val="AufzhlungQuadrat"/>
      </w:pPr>
      <w:r>
        <w:t xml:space="preserve">In mancanza di una chiara evidenza raccomandiamo per il momento di considerare i pazienti con </w:t>
      </w:r>
      <w:r w:rsidRPr="008F64E8">
        <w:rPr>
          <w:i/>
        </w:rPr>
        <w:t>RHD*09.03.01 (RHD*weak D type 4.0, RHD*DAR3.1)</w:t>
      </w:r>
      <w:r>
        <w:t xml:space="preserve"> come RH1 negativi</w:t>
      </w:r>
      <w:bookmarkStart w:id="124" w:name="_Toc493597035"/>
      <w:bookmarkStart w:id="125" w:name="_Toc493597037"/>
      <w:bookmarkStart w:id="126" w:name="_Toc493597038"/>
      <w:bookmarkEnd w:id="124"/>
      <w:bookmarkEnd w:id="125"/>
      <w:bookmarkEnd w:id="126"/>
      <w:r w:rsidR="008F64E8">
        <w:t xml:space="preserve"> </w:t>
      </w:r>
      <w:r w:rsidR="008F64E8">
        <w:fldChar w:fldCharType="begin"/>
      </w:r>
      <w:r w:rsidR="008F64E8">
        <w:instrText xml:space="preserve"> ADDIN ZOTERO_ITEM CSL_CITATION {"citationID":"bf0lGc0z","properties":{"formattedCitation":"[15], [16]","plainCitation":"[15], [16]","noteIndex":0},"citationItems":[{"id":5391,"uris":["http://zotero.org/groups/969572/items/X5B339ZQ"],"uri":["http://zotero.org/groups/969572/items/X5B339ZQ"],"itemData":{"id":5391,"type":"article-journal","container-title":"Transfusion","DOI":"doi: 10.1111/trf.15741","page":"60(4):855-859","title":"Experience with RHD*weak D type 4.0 in the USA","author":[{"literal":"Flegel W A"}],"issued":{"date-parts":[["2020",3,12]]}}},{"id":5401,"uris":["http://zotero.org/groups/969572/items/9A5TF5MH"],"uri":["http://zotero.org/groups/969572/items/9A5TF5MH"],"itemData":{"id":5401,"type":"article-journal","container-title":"Transfusion","DOI":"10.1111","page":"855-859","title":"It's time to phase out \"serologic weak D phenotype\" and resolve D types with RHD genotyping including weak D type 4","volume":"60(4)","author":[{"literal":"Willy A Flegel, Gregory A Denomme, John T Queenan, Susan T Johnson, Margaret A Keller, Connie M Westhoff, Louis M Katz, Meghan Delaney, Ralph R Vassallo, Clayton D Simon, S Gerald Sandler"}],"issued":{"date-parts":[["2020",3,12]]}}}],"schema":"https://github.com/citation-style-language/schema/raw/master/csl-citation.json"} </w:instrText>
      </w:r>
      <w:r w:rsidR="008F64E8">
        <w:fldChar w:fldCharType="separate"/>
      </w:r>
      <w:r w:rsidR="008F64E8" w:rsidRPr="008F64E8">
        <w:t>[15], [16]</w:t>
      </w:r>
      <w:r w:rsidR="008F64E8">
        <w:fldChar w:fldCharType="end"/>
      </w:r>
      <w:r w:rsidR="008F64E8">
        <w:t>.</w:t>
      </w:r>
    </w:p>
    <w:p w14:paraId="1C1837BC" w14:textId="77777777" w:rsidR="008F64E8" w:rsidRDefault="008F64E8" w:rsidP="008F64E8">
      <w:pPr>
        <w:pStyle w:val="AufzhlungQuadrat"/>
        <w:numPr>
          <w:ilvl w:val="0"/>
          <w:numId w:val="0"/>
        </w:numPr>
      </w:pPr>
    </w:p>
    <w:p w14:paraId="0D2E104F" w14:textId="2D57CB1F" w:rsidR="00EF4BEC" w:rsidRPr="008F64E8" w:rsidRDefault="009E2ACD" w:rsidP="008F64E8">
      <w:pPr>
        <w:pStyle w:val="AufzhlungQuadrat"/>
        <w:numPr>
          <w:ilvl w:val="0"/>
          <w:numId w:val="0"/>
        </w:numPr>
      </w:pPr>
      <w:r w:rsidRPr="008F64E8">
        <w:t>Tabella 8.1.2 Selezione dell’antigene RH1</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477"/>
        <w:gridCol w:w="2646"/>
        <w:gridCol w:w="2752"/>
      </w:tblGrid>
      <w:tr w:rsidR="00EF4BEC" w14:paraId="022AA3F9" w14:textId="77777777" w:rsidTr="008F64E8">
        <w:tc>
          <w:tcPr>
            <w:tcW w:w="1728" w:type="dxa"/>
            <w:shd w:val="clear" w:color="D9D9D9" w:fill="D9D9D9"/>
            <w:vAlign w:val="center"/>
          </w:tcPr>
          <w:p w14:paraId="3B346F9B" w14:textId="343C9488" w:rsidR="00EF4BEC" w:rsidRDefault="009E2ACD">
            <w:pPr>
              <w:rPr>
                <w:b/>
              </w:rPr>
            </w:pPr>
            <w:r>
              <w:rPr>
                <w:b/>
              </w:rPr>
              <w:t>Fenotipo RH1</w:t>
            </w:r>
          </w:p>
        </w:tc>
        <w:tc>
          <w:tcPr>
            <w:tcW w:w="2477" w:type="dxa"/>
            <w:shd w:val="clear" w:color="D9D9D9" w:fill="D9D9D9"/>
            <w:vAlign w:val="center"/>
          </w:tcPr>
          <w:p w14:paraId="65AA5D08" w14:textId="77777777" w:rsidR="00EF4BEC" w:rsidRDefault="009E2ACD">
            <w:pPr>
              <w:rPr>
                <w:b/>
              </w:rPr>
            </w:pPr>
            <w:r>
              <w:rPr>
                <w:b/>
              </w:rPr>
              <w:t>Genotipo</w:t>
            </w:r>
          </w:p>
        </w:tc>
        <w:tc>
          <w:tcPr>
            <w:tcW w:w="2646" w:type="dxa"/>
            <w:shd w:val="clear" w:color="D9D9D9" w:fill="D9D9D9"/>
            <w:vAlign w:val="center"/>
          </w:tcPr>
          <w:p w14:paraId="53BFDFEF" w14:textId="77777777" w:rsidR="00EF4BEC" w:rsidRDefault="009E2ACD">
            <w:pPr>
              <w:rPr>
                <w:b/>
              </w:rPr>
            </w:pPr>
            <w:r>
              <w:rPr>
                <w:b/>
              </w:rPr>
              <w:t>Trasfusioni donne &lt;50</w:t>
            </w:r>
          </w:p>
        </w:tc>
        <w:tc>
          <w:tcPr>
            <w:tcW w:w="2752" w:type="dxa"/>
            <w:shd w:val="clear" w:color="D9D9D9" w:fill="D9D9D9"/>
            <w:vAlign w:val="center"/>
          </w:tcPr>
          <w:p w14:paraId="02FEC079" w14:textId="77777777" w:rsidR="00EF4BEC" w:rsidRDefault="009E2ACD">
            <w:pPr>
              <w:rPr>
                <w:b/>
              </w:rPr>
            </w:pPr>
            <w:r>
              <w:rPr>
                <w:b/>
              </w:rPr>
              <w:t>Trasfusioni donne ≥50 o uomini</w:t>
            </w:r>
          </w:p>
        </w:tc>
      </w:tr>
      <w:tr w:rsidR="00EF4BEC" w14:paraId="3A18BA00" w14:textId="77777777" w:rsidTr="008F64E8">
        <w:tc>
          <w:tcPr>
            <w:tcW w:w="1728" w:type="dxa"/>
            <w:vAlign w:val="center"/>
          </w:tcPr>
          <w:p w14:paraId="38E13BE9" w14:textId="131AE33A" w:rsidR="00EF4BEC" w:rsidRDefault="009E2ACD">
            <w:r>
              <w:t xml:space="preserve">RH:–1 </w:t>
            </w:r>
          </w:p>
        </w:tc>
        <w:tc>
          <w:tcPr>
            <w:tcW w:w="2477" w:type="dxa"/>
            <w:vAlign w:val="center"/>
          </w:tcPr>
          <w:p w14:paraId="33C429D0" w14:textId="77777777" w:rsidR="00EF4BEC" w:rsidRDefault="009E2ACD">
            <w:r>
              <w:t>NA</w:t>
            </w:r>
          </w:p>
        </w:tc>
        <w:tc>
          <w:tcPr>
            <w:tcW w:w="2646" w:type="dxa"/>
            <w:vAlign w:val="center"/>
          </w:tcPr>
          <w:p w14:paraId="0784F066" w14:textId="098BD5EE" w:rsidR="00EF4BEC" w:rsidRDefault="009E2ACD">
            <w:r>
              <w:t>RH1 neg.</w:t>
            </w:r>
          </w:p>
        </w:tc>
        <w:tc>
          <w:tcPr>
            <w:tcW w:w="2752" w:type="dxa"/>
            <w:vAlign w:val="center"/>
          </w:tcPr>
          <w:p w14:paraId="120738BF" w14:textId="549AC53B" w:rsidR="00EF4BEC" w:rsidRDefault="009E2ACD">
            <w:r>
              <w:t>RH1 neg.</w:t>
            </w:r>
          </w:p>
        </w:tc>
      </w:tr>
      <w:tr w:rsidR="00EF4BEC" w:rsidRPr="00654E10" w14:paraId="2398FA72" w14:textId="77777777" w:rsidTr="008F64E8">
        <w:tc>
          <w:tcPr>
            <w:tcW w:w="1728" w:type="dxa"/>
            <w:vAlign w:val="center"/>
          </w:tcPr>
          <w:p w14:paraId="61A457D5" w14:textId="508D43FF" w:rsidR="00EF4BEC" w:rsidRDefault="009E2ACD">
            <w:pPr>
              <w:rPr>
                <w:lang w:val="en-US"/>
              </w:rPr>
            </w:pPr>
            <w:r>
              <w:rPr>
                <w:lang w:val="en-US"/>
              </w:rPr>
              <w:t xml:space="preserve">RH:W1/RH:P1 </w:t>
            </w:r>
          </w:p>
        </w:tc>
        <w:tc>
          <w:tcPr>
            <w:tcW w:w="2477" w:type="dxa"/>
            <w:vAlign w:val="center"/>
          </w:tcPr>
          <w:p w14:paraId="78CA6B4E" w14:textId="77777777" w:rsidR="00EF4BEC" w:rsidRDefault="009E2ACD">
            <w:r>
              <w:t>non noto</w:t>
            </w:r>
          </w:p>
        </w:tc>
        <w:tc>
          <w:tcPr>
            <w:tcW w:w="2646" w:type="dxa"/>
            <w:vAlign w:val="center"/>
          </w:tcPr>
          <w:p w14:paraId="088382E1" w14:textId="56766620" w:rsidR="00EF4BEC" w:rsidRDefault="009E2ACD">
            <w:pPr>
              <w:rPr>
                <w:lang w:val="it-IT"/>
              </w:rPr>
            </w:pPr>
            <w:r>
              <w:rPr>
                <w:lang w:val="it-IT"/>
              </w:rPr>
              <w:t xml:space="preserve">RH1 neg., finché non è noto il risultato PCR </w:t>
            </w:r>
          </w:p>
        </w:tc>
        <w:tc>
          <w:tcPr>
            <w:tcW w:w="2752" w:type="dxa"/>
            <w:vAlign w:val="center"/>
          </w:tcPr>
          <w:p w14:paraId="3840A8D0" w14:textId="1738C753" w:rsidR="00EF4BEC" w:rsidRDefault="009E2ACD">
            <w:pPr>
              <w:rPr>
                <w:lang w:val="it-IT"/>
              </w:rPr>
            </w:pPr>
            <w:r>
              <w:rPr>
                <w:lang w:val="it-IT"/>
              </w:rPr>
              <w:t>RH1 pos.*, finché non è noto il risultato PCR</w:t>
            </w:r>
          </w:p>
        </w:tc>
      </w:tr>
      <w:tr w:rsidR="00EF4BEC" w14:paraId="6DD6E207" w14:textId="77777777" w:rsidTr="008F64E8">
        <w:tc>
          <w:tcPr>
            <w:tcW w:w="1728" w:type="dxa"/>
          </w:tcPr>
          <w:p w14:paraId="3ECCBACF" w14:textId="78436BA1" w:rsidR="00EF4BEC" w:rsidRDefault="009E2ACD">
            <w:pPr>
              <w:rPr>
                <w:lang w:val="en-US"/>
              </w:rPr>
            </w:pPr>
            <w:r>
              <w:rPr>
                <w:lang w:val="en-US"/>
              </w:rPr>
              <w:t xml:space="preserve">RH:W1/RH:P1 </w:t>
            </w:r>
          </w:p>
        </w:tc>
        <w:tc>
          <w:tcPr>
            <w:tcW w:w="2477" w:type="dxa"/>
          </w:tcPr>
          <w:p w14:paraId="4F277768" w14:textId="77777777" w:rsidR="00EF4BEC" w:rsidRDefault="009E2ACD">
            <w:pPr>
              <w:rPr>
                <w:i/>
                <w:lang w:val="en-US"/>
              </w:rPr>
            </w:pPr>
            <w:r>
              <w:rPr>
                <w:i/>
                <w:lang w:val="en-US"/>
              </w:rPr>
              <w:t xml:space="preserve">RHD*01W.1/.2/.3 (RHD*weak D type 1/2/3) </w:t>
            </w:r>
            <w:r>
              <w:rPr>
                <w:lang w:val="en-US"/>
              </w:rPr>
              <w:t>o</w:t>
            </w:r>
            <w:r>
              <w:rPr>
                <w:i/>
                <w:lang w:val="en-US"/>
              </w:rPr>
              <w:t xml:space="preserve"> RHD*09.04 (RHD*weak D type 4.1)</w:t>
            </w:r>
          </w:p>
        </w:tc>
        <w:tc>
          <w:tcPr>
            <w:tcW w:w="2646" w:type="dxa"/>
            <w:vAlign w:val="center"/>
          </w:tcPr>
          <w:p w14:paraId="381CB350" w14:textId="4D84ED55" w:rsidR="00EF4BEC" w:rsidRDefault="009E2ACD">
            <w:r>
              <w:t>RH1 pos.</w:t>
            </w:r>
          </w:p>
        </w:tc>
        <w:tc>
          <w:tcPr>
            <w:tcW w:w="2752" w:type="dxa"/>
            <w:vAlign w:val="center"/>
          </w:tcPr>
          <w:p w14:paraId="4017D86F" w14:textId="7F91BACE" w:rsidR="00EF4BEC" w:rsidRDefault="009E2ACD">
            <w:r>
              <w:t>RH1 pos.</w:t>
            </w:r>
          </w:p>
        </w:tc>
      </w:tr>
      <w:tr w:rsidR="00EF4BEC" w14:paraId="168B9889" w14:textId="77777777" w:rsidTr="008F64E8">
        <w:tc>
          <w:tcPr>
            <w:tcW w:w="1728" w:type="dxa"/>
          </w:tcPr>
          <w:p w14:paraId="67AA2039" w14:textId="14B86461" w:rsidR="00EF4BEC" w:rsidRDefault="009E2ACD">
            <w:pPr>
              <w:rPr>
                <w:lang w:val="en-US"/>
              </w:rPr>
            </w:pPr>
            <w:r>
              <w:rPr>
                <w:lang w:val="en-US"/>
              </w:rPr>
              <w:t xml:space="preserve">RH:W1/RH:P1 </w:t>
            </w:r>
          </w:p>
        </w:tc>
        <w:tc>
          <w:tcPr>
            <w:tcW w:w="2477" w:type="dxa"/>
          </w:tcPr>
          <w:p w14:paraId="04A32A50" w14:textId="77777777" w:rsidR="00EF4BEC" w:rsidRDefault="009E2ACD">
            <w:pPr>
              <w:rPr>
                <w:i/>
                <w:lang w:val="en-US"/>
              </w:rPr>
            </w:pPr>
            <w:r>
              <w:rPr>
                <w:lang w:val="en-US"/>
              </w:rPr>
              <w:t xml:space="preserve">diverso da </w:t>
            </w:r>
            <w:r>
              <w:rPr>
                <w:i/>
                <w:lang w:val="en-US"/>
              </w:rPr>
              <w:t xml:space="preserve">RHD*01W.1/.2/.3 (RHD*weak D type 1/2/3) </w:t>
            </w:r>
            <w:r>
              <w:rPr>
                <w:lang w:val="en-US"/>
              </w:rPr>
              <w:t>o</w:t>
            </w:r>
            <w:r>
              <w:rPr>
                <w:i/>
                <w:lang w:val="en-US"/>
              </w:rPr>
              <w:t xml:space="preserve"> RHD*09.04 (RHD*weak D type 4.1)</w:t>
            </w:r>
          </w:p>
        </w:tc>
        <w:tc>
          <w:tcPr>
            <w:tcW w:w="2646" w:type="dxa"/>
            <w:vAlign w:val="center"/>
          </w:tcPr>
          <w:p w14:paraId="029AFF5B" w14:textId="00EF9451" w:rsidR="00EF4BEC" w:rsidRDefault="009E2ACD">
            <w:r>
              <w:t>RH1 neg.</w:t>
            </w:r>
          </w:p>
        </w:tc>
        <w:tc>
          <w:tcPr>
            <w:tcW w:w="2752" w:type="dxa"/>
            <w:vAlign w:val="center"/>
          </w:tcPr>
          <w:p w14:paraId="0F42F3B1" w14:textId="021987F3" w:rsidR="00EF4BEC" w:rsidRDefault="009E2ACD">
            <w:r>
              <w:t>RH1 neg.</w:t>
            </w:r>
          </w:p>
        </w:tc>
      </w:tr>
    </w:tbl>
    <w:p w14:paraId="046771FA" w14:textId="28812250" w:rsidR="00EF4BEC" w:rsidRDefault="009E2ACD">
      <w:pPr>
        <w:tabs>
          <w:tab w:val="left" w:pos="426"/>
        </w:tabs>
        <w:ind w:left="142"/>
        <w:rPr>
          <w:rFonts w:cs="Arial"/>
          <w:lang w:val="it-IT"/>
        </w:rPr>
      </w:pPr>
      <w:r>
        <w:rPr>
          <w:rFonts w:cs="Arial"/>
          <w:lang w:val="it-IT"/>
        </w:rPr>
        <w:t>*</w:t>
      </w:r>
      <w:r>
        <w:rPr>
          <w:rFonts w:cs="Arial"/>
          <w:lang w:val="it-IT"/>
        </w:rPr>
        <w:tab/>
        <w:t>Trasfondere RH1 neg. se si è certi della presenza di RH:P1 (RhD partial)</w:t>
      </w:r>
    </w:p>
    <w:p w14:paraId="0F8C2BC3" w14:textId="77777777" w:rsidR="00EF4BEC" w:rsidRDefault="009E2ACD" w:rsidP="00B83906">
      <w:pPr>
        <w:pStyle w:val="berschrift3"/>
      </w:pPr>
      <w:bookmarkStart w:id="127" w:name="_Toc161749151"/>
      <w:r>
        <w:t>Scelta di altri antigeni di gruppo sanguigno</w:t>
      </w:r>
      <w:bookmarkEnd w:id="127"/>
    </w:p>
    <w:p w14:paraId="0F778433" w14:textId="77777777" w:rsidR="00EF4BEC" w:rsidRDefault="009E2ACD">
      <w:pPr>
        <w:pStyle w:val="berschrift4"/>
        <w:rPr>
          <w:lang w:val="it-IT"/>
        </w:rPr>
      </w:pPr>
      <w:r>
        <w:rPr>
          <w:lang w:val="it-IT"/>
        </w:rPr>
        <w:t xml:space="preserve">Presenza </w:t>
      </w:r>
      <w:r>
        <w:t>di</w:t>
      </w:r>
      <w:r>
        <w:rPr>
          <w:lang w:val="it-IT"/>
        </w:rPr>
        <w:t xml:space="preserve"> alloanticorpi</w:t>
      </w:r>
    </w:p>
    <w:p w14:paraId="77176061" w14:textId="77777777" w:rsidR="00EF4BEC" w:rsidRDefault="009E2ACD">
      <w:pPr>
        <w:pStyle w:val="AufzhlungPunkt"/>
      </w:pPr>
      <w:r>
        <w:t>Se sono stati identificati degli alloanticorpi di importanza trasfusionale si dovranno trasfondere dei CE privi degli antigeni corrispondenti. I CE devono essere negativi. Questo vale anche per anticorpi di importanza clinica noti, ma non più identificabili.</w:t>
      </w:r>
    </w:p>
    <w:p w14:paraId="56D970DC" w14:textId="77777777" w:rsidR="00EF4BEC" w:rsidRDefault="009E2ACD">
      <w:pPr>
        <w:pStyle w:val="AufzhlungPunkt"/>
      </w:pPr>
      <w:r>
        <w:t>Dopo l’identificazione di un primo alloanticorpo, si raccomanda di eseguire una tipizzazione più estesa degli antigeni (KEL1 [K], KEL2 [k], JK1 [Jk</w:t>
      </w:r>
      <w:r>
        <w:rPr>
          <w:vertAlign w:val="superscript"/>
        </w:rPr>
        <w:t>a</w:t>
      </w:r>
      <w:r>
        <w:t>], JK2 [Jk</w:t>
      </w:r>
      <w:r>
        <w:rPr>
          <w:vertAlign w:val="superscript"/>
        </w:rPr>
        <w:t>b</w:t>
      </w:r>
      <w:r>
        <w:t>], FY1 [Fy</w:t>
      </w:r>
      <w:r>
        <w:rPr>
          <w:vertAlign w:val="superscript"/>
        </w:rPr>
        <w:t>a</w:t>
      </w:r>
      <w:r>
        <w:t>], FY2 [Fy</w:t>
      </w:r>
      <w:r>
        <w:rPr>
          <w:vertAlign w:val="superscript"/>
        </w:rPr>
        <w:t>b</w:t>
      </w:r>
      <w:r>
        <w:t>], MNS3 [S] e MNS4 [s]) allo scopo di prevenire altre immunizzazioni, e trasfondere se possibile dei prodotti compatibili. Nei pazienti recentemente trasfusi è consigliabile eseguire la genotipizzazione (vedi § 11).</w:t>
      </w:r>
    </w:p>
    <w:p w14:paraId="6ECB7911" w14:textId="77777777" w:rsidR="00EF4BEC" w:rsidRDefault="009E2ACD">
      <w:pPr>
        <w:pStyle w:val="berschrift4"/>
        <w:rPr>
          <w:lang w:val="it-IT"/>
        </w:rPr>
      </w:pPr>
      <w:r>
        <w:rPr>
          <w:lang w:val="it-IT"/>
        </w:rPr>
        <w:t>Requisiti minimi per la scelta di CE in presenza di anticorpi</w:t>
      </w:r>
    </w:p>
    <w:p w14:paraId="0EF07684" w14:textId="77777777" w:rsidR="00EF4BEC" w:rsidRDefault="009E2ACD">
      <w:pPr>
        <w:pStyle w:val="AufzhlungPunkt"/>
        <w:sectPr w:rsidR="00EF4BEC">
          <w:pgSz w:w="11906" w:h="16838"/>
          <w:pgMar w:top="1418" w:right="1418" w:bottom="1418" w:left="1418" w:header="425" w:footer="170" w:gutter="0"/>
          <w:cols w:space="708"/>
          <w:docGrid w:linePitch="360"/>
        </w:sectPr>
      </w:pPr>
      <w:r>
        <w:t>Se l’anticorpo non è menzionato nella tabella seguente, si raccomanda di rivolgersi al laboratorio di riferimento.</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65"/>
        <w:gridCol w:w="1559"/>
        <w:gridCol w:w="1559"/>
        <w:gridCol w:w="1701"/>
        <w:gridCol w:w="1701"/>
      </w:tblGrid>
      <w:tr w:rsidR="00EF4BEC" w14:paraId="6D4AC11B" w14:textId="77777777">
        <w:trPr>
          <w:cantSplit/>
        </w:trPr>
        <w:tc>
          <w:tcPr>
            <w:tcW w:w="1980" w:type="dxa"/>
            <w:shd w:val="clear" w:color="auto" w:fill="D9D9D9" w:themeFill="background1" w:themeFillShade="D9"/>
          </w:tcPr>
          <w:p w14:paraId="39FF6AD0" w14:textId="77777777" w:rsidR="00EF4BEC" w:rsidRDefault="00EF4BEC">
            <w:pPr>
              <w:rPr>
                <w:rFonts w:cs="Arial"/>
                <w:b/>
                <w:sz w:val="16"/>
                <w:szCs w:val="16"/>
                <w:lang w:val="it-IT"/>
              </w:rPr>
            </w:pPr>
          </w:p>
        </w:tc>
        <w:tc>
          <w:tcPr>
            <w:tcW w:w="4683" w:type="dxa"/>
            <w:gridSpan w:val="3"/>
            <w:shd w:val="clear" w:color="auto" w:fill="D9D9D9" w:themeFill="background1" w:themeFillShade="D9"/>
          </w:tcPr>
          <w:p w14:paraId="16B184A2" w14:textId="77777777" w:rsidR="00EF4BEC" w:rsidRDefault="009E2ACD">
            <w:pPr>
              <w:rPr>
                <w:rFonts w:cs="Arial"/>
                <w:b/>
                <w:sz w:val="16"/>
                <w:szCs w:val="16"/>
              </w:rPr>
            </w:pPr>
            <w:r>
              <w:rPr>
                <w:rFonts w:cs="Arial"/>
                <w:b/>
                <w:sz w:val="16"/>
                <w:szCs w:val="16"/>
              </w:rPr>
              <w:t>Mezzo di reazione</w:t>
            </w:r>
          </w:p>
        </w:tc>
        <w:tc>
          <w:tcPr>
            <w:tcW w:w="1701" w:type="dxa"/>
            <w:shd w:val="clear" w:color="auto" w:fill="D9D9D9" w:themeFill="background1" w:themeFillShade="D9"/>
          </w:tcPr>
          <w:p w14:paraId="3339F0E0" w14:textId="77777777" w:rsidR="00EF4BEC" w:rsidRDefault="00EF4BEC">
            <w:pPr>
              <w:rPr>
                <w:rFonts w:cs="Arial"/>
                <w:b/>
                <w:sz w:val="16"/>
                <w:szCs w:val="16"/>
              </w:rPr>
            </w:pPr>
          </w:p>
        </w:tc>
        <w:tc>
          <w:tcPr>
            <w:tcW w:w="1701" w:type="dxa"/>
            <w:shd w:val="clear" w:color="auto" w:fill="D9D9D9" w:themeFill="background1" w:themeFillShade="D9"/>
          </w:tcPr>
          <w:p w14:paraId="50DA99CA" w14:textId="77777777" w:rsidR="00EF4BEC" w:rsidRDefault="00EF4BEC">
            <w:pPr>
              <w:rPr>
                <w:rFonts w:cs="Arial"/>
                <w:b/>
                <w:sz w:val="16"/>
                <w:szCs w:val="16"/>
              </w:rPr>
            </w:pPr>
          </w:p>
        </w:tc>
      </w:tr>
      <w:tr w:rsidR="00EF4BEC" w14:paraId="221BE213" w14:textId="77777777">
        <w:trPr>
          <w:cantSplit/>
        </w:trPr>
        <w:tc>
          <w:tcPr>
            <w:tcW w:w="1980" w:type="dxa"/>
            <w:shd w:val="clear" w:color="auto" w:fill="D9D9D9" w:themeFill="background1" w:themeFillShade="D9"/>
          </w:tcPr>
          <w:p w14:paraId="67DF2A22" w14:textId="77777777" w:rsidR="00EF4BEC" w:rsidRDefault="009E2ACD">
            <w:pPr>
              <w:rPr>
                <w:rFonts w:cs="Arial"/>
                <w:b/>
                <w:sz w:val="16"/>
                <w:szCs w:val="16"/>
              </w:rPr>
            </w:pPr>
            <w:r>
              <w:rPr>
                <w:rFonts w:cs="Arial"/>
                <w:b/>
                <w:sz w:val="16"/>
                <w:szCs w:val="16"/>
              </w:rPr>
              <w:t>Anticorpi</w:t>
            </w:r>
          </w:p>
        </w:tc>
        <w:tc>
          <w:tcPr>
            <w:tcW w:w="1565" w:type="dxa"/>
            <w:shd w:val="clear" w:color="auto" w:fill="D9D9D9" w:themeFill="background1" w:themeFillShade="D9"/>
          </w:tcPr>
          <w:p w14:paraId="776047F8" w14:textId="77777777" w:rsidR="00EF4BEC" w:rsidRDefault="009E2ACD">
            <w:pPr>
              <w:rPr>
                <w:rFonts w:cs="Arial"/>
                <w:b/>
                <w:sz w:val="16"/>
                <w:szCs w:val="16"/>
              </w:rPr>
            </w:pPr>
            <w:r>
              <w:rPr>
                <w:rFonts w:cs="Arial"/>
                <w:b/>
                <w:sz w:val="16"/>
                <w:szCs w:val="16"/>
              </w:rPr>
              <w:t>NaCl</w:t>
            </w:r>
          </w:p>
        </w:tc>
        <w:tc>
          <w:tcPr>
            <w:tcW w:w="1559" w:type="dxa"/>
            <w:shd w:val="clear" w:color="auto" w:fill="D9D9D9" w:themeFill="background1" w:themeFillShade="D9"/>
          </w:tcPr>
          <w:p w14:paraId="43B5EB55" w14:textId="77777777" w:rsidR="00EF4BEC" w:rsidRDefault="009E2ACD">
            <w:pPr>
              <w:rPr>
                <w:rFonts w:cs="Arial"/>
                <w:b/>
                <w:sz w:val="16"/>
                <w:szCs w:val="16"/>
              </w:rPr>
            </w:pPr>
            <w:r>
              <w:rPr>
                <w:rFonts w:cs="Arial"/>
                <w:b/>
                <w:sz w:val="16"/>
                <w:szCs w:val="16"/>
              </w:rPr>
              <w:t>Solo enzima</w:t>
            </w:r>
            <w:r>
              <w:rPr>
                <w:rFonts w:cs="Arial"/>
                <w:b/>
                <w:sz w:val="16"/>
                <w:szCs w:val="16"/>
              </w:rPr>
              <w:br/>
              <w:t>(</w:t>
            </w:r>
            <w:r>
              <w:rPr>
                <w:rFonts w:ascii="Calibri" w:hAnsi="Calibri" w:cs="Calibri"/>
                <w:b/>
                <w:sz w:val="16"/>
                <w:szCs w:val="16"/>
              </w:rPr>
              <w:t>«</w:t>
            </w:r>
            <w:r>
              <w:rPr>
                <w:rFonts w:cs="Arial"/>
                <w:b/>
                <w:sz w:val="16"/>
                <w:szCs w:val="16"/>
              </w:rPr>
              <w:t>enzyme only</w:t>
            </w:r>
            <w:r>
              <w:rPr>
                <w:rFonts w:ascii="Calibri" w:hAnsi="Calibri" w:cs="Calibri"/>
                <w:b/>
                <w:sz w:val="16"/>
                <w:szCs w:val="16"/>
              </w:rPr>
              <w:t>»</w:t>
            </w:r>
            <w:r>
              <w:rPr>
                <w:rFonts w:cs="Arial"/>
                <w:b/>
                <w:sz w:val="16"/>
                <w:szCs w:val="16"/>
              </w:rPr>
              <w:t>)</w:t>
            </w:r>
          </w:p>
        </w:tc>
        <w:tc>
          <w:tcPr>
            <w:tcW w:w="1559" w:type="dxa"/>
            <w:shd w:val="clear" w:color="auto" w:fill="D9D9D9" w:themeFill="background1" w:themeFillShade="D9"/>
          </w:tcPr>
          <w:p w14:paraId="3511E7A2" w14:textId="77777777" w:rsidR="00EF4BEC" w:rsidRDefault="009E2ACD">
            <w:pPr>
              <w:rPr>
                <w:rFonts w:cs="Arial"/>
                <w:b/>
                <w:sz w:val="16"/>
                <w:szCs w:val="16"/>
              </w:rPr>
            </w:pPr>
            <w:r>
              <w:rPr>
                <w:rFonts w:cs="Arial"/>
                <w:b/>
                <w:sz w:val="16"/>
                <w:szCs w:val="16"/>
              </w:rPr>
              <w:t>ID/IAT</w:t>
            </w:r>
          </w:p>
        </w:tc>
        <w:tc>
          <w:tcPr>
            <w:tcW w:w="1701" w:type="dxa"/>
            <w:shd w:val="clear" w:color="auto" w:fill="D9D9D9" w:themeFill="background1" w:themeFillShade="D9"/>
          </w:tcPr>
          <w:p w14:paraId="0AEFFDD5" w14:textId="77777777" w:rsidR="00EF4BEC" w:rsidRDefault="009E2ACD">
            <w:pPr>
              <w:rPr>
                <w:rFonts w:cs="Arial"/>
                <w:b/>
                <w:sz w:val="16"/>
                <w:szCs w:val="16"/>
              </w:rPr>
            </w:pPr>
            <w:r>
              <w:rPr>
                <w:rFonts w:cs="Arial"/>
                <w:b/>
                <w:sz w:val="16"/>
                <w:szCs w:val="16"/>
              </w:rPr>
              <w:t>AC non più identificabili</w:t>
            </w:r>
          </w:p>
        </w:tc>
        <w:tc>
          <w:tcPr>
            <w:tcW w:w="1701" w:type="dxa"/>
            <w:shd w:val="clear" w:color="auto" w:fill="D9D9D9" w:themeFill="background1" w:themeFillShade="D9"/>
          </w:tcPr>
          <w:p w14:paraId="33E98EE6" w14:textId="7D0E1C67" w:rsidR="00EF4BEC" w:rsidRDefault="009E2ACD">
            <w:pPr>
              <w:rPr>
                <w:rFonts w:cs="Arial"/>
                <w:b/>
                <w:sz w:val="16"/>
                <w:szCs w:val="16"/>
                <w:lang w:val="it-IT"/>
              </w:rPr>
            </w:pPr>
            <w:r>
              <w:rPr>
                <w:rFonts w:cs="Arial"/>
                <w:b/>
                <w:sz w:val="16"/>
                <w:szCs w:val="16"/>
                <w:lang w:val="it-IT"/>
              </w:rPr>
              <w:t>Fenotipo RH/KEL1 compatibile</w:t>
            </w:r>
          </w:p>
        </w:tc>
      </w:tr>
      <w:tr w:rsidR="00EF4BEC" w14:paraId="50CC3E05" w14:textId="77777777">
        <w:trPr>
          <w:cantSplit/>
        </w:trPr>
        <w:tc>
          <w:tcPr>
            <w:tcW w:w="1980" w:type="dxa"/>
            <w:shd w:val="clear" w:color="auto" w:fill="auto"/>
          </w:tcPr>
          <w:p w14:paraId="22BCC88C" w14:textId="77777777" w:rsidR="00EF4BEC" w:rsidRDefault="009E2ACD">
            <w:pPr>
              <w:rPr>
                <w:rFonts w:cs="Arial"/>
                <w:b/>
                <w:sz w:val="16"/>
                <w:szCs w:val="16"/>
              </w:rPr>
            </w:pPr>
            <w:r>
              <w:rPr>
                <w:rFonts w:cs="Arial"/>
                <w:b/>
                <w:sz w:val="16"/>
                <w:szCs w:val="16"/>
              </w:rPr>
              <w:t>ABO</w:t>
            </w:r>
          </w:p>
        </w:tc>
        <w:tc>
          <w:tcPr>
            <w:tcW w:w="1565" w:type="dxa"/>
            <w:shd w:val="clear" w:color="auto" w:fill="auto"/>
          </w:tcPr>
          <w:p w14:paraId="3F666DF0" w14:textId="77777777" w:rsidR="00EF4BEC" w:rsidRDefault="00EF4BEC">
            <w:pPr>
              <w:rPr>
                <w:rFonts w:cs="Arial"/>
                <w:sz w:val="16"/>
                <w:szCs w:val="16"/>
              </w:rPr>
            </w:pPr>
          </w:p>
        </w:tc>
        <w:tc>
          <w:tcPr>
            <w:tcW w:w="1559" w:type="dxa"/>
            <w:shd w:val="clear" w:color="auto" w:fill="auto"/>
          </w:tcPr>
          <w:p w14:paraId="57946A2D" w14:textId="77777777" w:rsidR="00EF4BEC" w:rsidRDefault="00EF4BEC">
            <w:pPr>
              <w:rPr>
                <w:rFonts w:cs="Arial"/>
                <w:sz w:val="16"/>
                <w:szCs w:val="16"/>
              </w:rPr>
            </w:pPr>
          </w:p>
        </w:tc>
        <w:tc>
          <w:tcPr>
            <w:tcW w:w="1559" w:type="dxa"/>
            <w:shd w:val="clear" w:color="auto" w:fill="auto"/>
          </w:tcPr>
          <w:p w14:paraId="73BA1FF4" w14:textId="77777777" w:rsidR="00EF4BEC" w:rsidRDefault="00EF4BEC">
            <w:pPr>
              <w:rPr>
                <w:rFonts w:cs="Arial"/>
                <w:sz w:val="16"/>
                <w:szCs w:val="16"/>
              </w:rPr>
            </w:pPr>
          </w:p>
        </w:tc>
        <w:tc>
          <w:tcPr>
            <w:tcW w:w="1701" w:type="dxa"/>
            <w:shd w:val="clear" w:color="auto" w:fill="auto"/>
          </w:tcPr>
          <w:p w14:paraId="4668CB27" w14:textId="77777777" w:rsidR="00EF4BEC" w:rsidRDefault="00EF4BEC">
            <w:pPr>
              <w:rPr>
                <w:rFonts w:cs="Arial"/>
                <w:sz w:val="16"/>
                <w:szCs w:val="16"/>
              </w:rPr>
            </w:pPr>
          </w:p>
        </w:tc>
        <w:tc>
          <w:tcPr>
            <w:tcW w:w="1701" w:type="dxa"/>
            <w:shd w:val="clear" w:color="auto" w:fill="auto"/>
          </w:tcPr>
          <w:p w14:paraId="3D466638" w14:textId="77777777" w:rsidR="00EF4BEC" w:rsidRDefault="00EF4BEC">
            <w:pPr>
              <w:rPr>
                <w:rFonts w:cs="Arial"/>
                <w:sz w:val="16"/>
                <w:szCs w:val="16"/>
              </w:rPr>
            </w:pPr>
          </w:p>
        </w:tc>
      </w:tr>
      <w:tr w:rsidR="00EF4BEC" w14:paraId="3D6E9413" w14:textId="77777777">
        <w:trPr>
          <w:cantSplit/>
        </w:trPr>
        <w:tc>
          <w:tcPr>
            <w:tcW w:w="1980" w:type="dxa"/>
            <w:shd w:val="clear" w:color="auto" w:fill="auto"/>
          </w:tcPr>
          <w:p w14:paraId="46743130" w14:textId="77777777" w:rsidR="00EF4BEC" w:rsidRDefault="009E2ACD">
            <w:pPr>
              <w:rPr>
                <w:rFonts w:cs="Arial"/>
                <w:sz w:val="16"/>
                <w:szCs w:val="16"/>
              </w:rPr>
            </w:pPr>
            <w:r>
              <w:rPr>
                <w:rFonts w:cs="Arial"/>
                <w:sz w:val="16"/>
                <w:szCs w:val="16"/>
              </w:rPr>
              <w:t>Anti-A1</w:t>
            </w:r>
          </w:p>
        </w:tc>
        <w:tc>
          <w:tcPr>
            <w:tcW w:w="1565" w:type="dxa"/>
            <w:shd w:val="clear" w:color="auto" w:fill="auto"/>
          </w:tcPr>
          <w:p w14:paraId="728FE370" w14:textId="77777777" w:rsidR="00EF4BEC" w:rsidRDefault="009E2ACD">
            <w:pPr>
              <w:rPr>
                <w:rFonts w:cs="Arial"/>
                <w:sz w:val="16"/>
                <w:szCs w:val="16"/>
              </w:rPr>
            </w:pPr>
            <w:r>
              <w:rPr>
                <w:rFonts w:cs="Arial"/>
                <w:sz w:val="16"/>
                <w:szCs w:val="16"/>
              </w:rPr>
              <w:t>T&amp;S</w:t>
            </w:r>
          </w:p>
        </w:tc>
        <w:tc>
          <w:tcPr>
            <w:tcW w:w="1559" w:type="dxa"/>
            <w:shd w:val="clear" w:color="auto" w:fill="auto"/>
          </w:tcPr>
          <w:p w14:paraId="15153A33" w14:textId="77777777" w:rsidR="00EF4BEC" w:rsidRDefault="009E2ACD">
            <w:pPr>
              <w:rPr>
                <w:rFonts w:cs="Arial"/>
                <w:sz w:val="16"/>
                <w:szCs w:val="16"/>
              </w:rPr>
            </w:pPr>
            <w:r>
              <w:rPr>
                <w:rFonts w:cs="Arial"/>
                <w:sz w:val="16"/>
                <w:szCs w:val="16"/>
              </w:rPr>
              <w:t>T&amp;S</w:t>
            </w:r>
          </w:p>
        </w:tc>
        <w:tc>
          <w:tcPr>
            <w:tcW w:w="1559" w:type="dxa"/>
            <w:shd w:val="clear" w:color="auto" w:fill="auto"/>
          </w:tcPr>
          <w:p w14:paraId="6A666967"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75E67B11" w14:textId="77777777" w:rsidR="00EF4BEC" w:rsidRDefault="009E2ACD">
            <w:pPr>
              <w:rPr>
                <w:rFonts w:cs="Arial"/>
                <w:sz w:val="16"/>
                <w:szCs w:val="16"/>
              </w:rPr>
            </w:pPr>
            <w:r>
              <w:rPr>
                <w:rFonts w:cs="Arial"/>
                <w:sz w:val="16"/>
                <w:szCs w:val="16"/>
              </w:rPr>
              <w:t>T&amp;S</w:t>
            </w:r>
          </w:p>
        </w:tc>
        <w:tc>
          <w:tcPr>
            <w:tcW w:w="1701" w:type="dxa"/>
            <w:shd w:val="clear" w:color="auto" w:fill="auto"/>
          </w:tcPr>
          <w:p w14:paraId="260C3589" w14:textId="77777777" w:rsidR="00EF4BEC" w:rsidRDefault="009E2ACD">
            <w:pPr>
              <w:rPr>
                <w:rFonts w:cs="Arial"/>
                <w:sz w:val="16"/>
                <w:szCs w:val="16"/>
              </w:rPr>
            </w:pPr>
            <w:r>
              <w:rPr>
                <w:rFonts w:cs="Arial"/>
                <w:sz w:val="16"/>
                <w:szCs w:val="16"/>
              </w:rPr>
              <w:t>♀ &lt;50 anni</w:t>
            </w:r>
          </w:p>
        </w:tc>
      </w:tr>
      <w:tr w:rsidR="00EF4BEC" w14:paraId="70509D1E" w14:textId="77777777">
        <w:trPr>
          <w:cantSplit/>
        </w:trPr>
        <w:tc>
          <w:tcPr>
            <w:tcW w:w="1980" w:type="dxa"/>
            <w:shd w:val="clear" w:color="auto" w:fill="auto"/>
          </w:tcPr>
          <w:p w14:paraId="5633656F" w14:textId="77777777" w:rsidR="00EF4BEC" w:rsidRDefault="009E2ACD">
            <w:pPr>
              <w:rPr>
                <w:rFonts w:cs="Arial"/>
                <w:b/>
                <w:sz w:val="16"/>
                <w:szCs w:val="16"/>
              </w:rPr>
            </w:pPr>
            <w:r>
              <w:rPr>
                <w:rFonts w:cs="Arial"/>
                <w:b/>
                <w:sz w:val="16"/>
                <w:szCs w:val="16"/>
              </w:rPr>
              <w:t>RH</w:t>
            </w:r>
          </w:p>
        </w:tc>
        <w:tc>
          <w:tcPr>
            <w:tcW w:w="1565" w:type="dxa"/>
            <w:shd w:val="clear" w:color="auto" w:fill="auto"/>
          </w:tcPr>
          <w:p w14:paraId="0CC72693" w14:textId="77777777" w:rsidR="00EF4BEC" w:rsidRDefault="00EF4BEC">
            <w:pPr>
              <w:rPr>
                <w:rFonts w:cs="Arial"/>
                <w:sz w:val="16"/>
                <w:szCs w:val="16"/>
              </w:rPr>
            </w:pPr>
          </w:p>
        </w:tc>
        <w:tc>
          <w:tcPr>
            <w:tcW w:w="1559" w:type="dxa"/>
            <w:shd w:val="clear" w:color="auto" w:fill="auto"/>
          </w:tcPr>
          <w:p w14:paraId="4F1F814F" w14:textId="77777777" w:rsidR="00EF4BEC" w:rsidRDefault="00EF4BEC">
            <w:pPr>
              <w:rPr>
                <w:rFonts w:cs="Arial"/>
                <w:sz w:val="16"/>
                <w:szCs w:val="16"/>
              </w:rPr>
            </w:pPr>
          </w:p>
        </w:tc>
        <w:tc>
          <w:tcPr>
            <w:tcW w:w="1559" w:type="dxa"/>
            <w:shd w:val="clear" w:color="auto" w:fill="auto"/>
          </w:tcPr>
          <w:p w14:paraId="06B09E7A" w14:textId="77777777" w:rsidR="00EF4BEC" w:rsidRDefault="00EF4BEC">
            <w:pPr>
              <w:rPr>
                <w:rFonts w:cs="Arial"/>
                <w:sz w:val="16"/>
                <w:szCs w:val="16"/>
              </w:rPr>
            </w:pPr>
          </w:p>
        </w:tc>
        <w:tc>
          <w:tcPr>
            <w:tcW w:w="1701" w:type="dxa"/>
            <w:shd w:val="clear" w:color="auto" w:fill="auto"/>
          </w:tcPr>
          <w:p w14:paraId="40BC5B94" w14:textId="77777777" w:rsidR="00EF4BEC" w:rsidRDefault="00EF4BEC">
            <w:pPr>
              <w:rPr>
                <w:rFonts w:cs="Arial"/>
                <w:sz w:val="16"/>
                <w:szCs w:val="16"/>
              </w:rPr>
            </w:pPr>
          </w:p>
        </w:tc>
        <w:tc>
          <w:tcPr>
            <w:tcW w:w="1701" w:type="dxa"/>
            <w:shd w:val="clear" w:color="auto" w:fill="auto"/>
          </w:tcPr>
          <w:p w14:paraId="15120B85" w14:textId="77777777" w:rsidR="00EF4BEC" w:rsidRDefault="00EF4BEC">
            <w:pPr>
              <w:rPr>
                <w:rFonts w:cs="Arial"/>
                <w:sz w:val="16"/>
                <w:szCs w:val="16"/>
              </w:rPr>
            </w:pPr>
          </w:p>
        </w:tc>
      </w:tr>
      <w:tr w:rsidR="00EF4BEC" w14:paraId="335B767F" w14:textId="77777777">
        <w:trPr>
          <w:cantSplit/>
          <w:trHeight w:val="183"/>
        </w:trPr>
        <w:tc>
          <w:tcPr>
            <w:tcW w:w="1980" w:type="dxa"/>
            <w:shd w:val="clear" w:color="auto" w:fill="auto"/>
          </w:tcPr>
          <w:p w14:paraId="5FA883C1" w14:textId="77777777" w:rsidR="00EF4BEC" w:rsidRDefault="009E2ACD">
            <w:pPr>
              <w:rPr>
                <w:rFonts w:cs="Arial"/>
                <w:sz w:val="16"/>
                <w:szCs w:val="16"/>
              </w:rPr>
            </w:pPr>
            <w:r>
              <w:rPr>
                <w:rFonts w:cs="Arial"/>
                <w:sz w:val="16"/>
                <w:szCs w:val="16"/>
              </w:rPr>
              <w:t>Profilassi RHIG</w:t>
            </w:r>
          </w:p>
        </w:tc>
        <w:tc>
          <w:tcPr>
            <w:tcW w:w="1565" w:type="dxa"/>
            <w:shd w:val="clear" w:color="auto" w:fill="auto"/>
          </w:tcPr>
          <w:p w14:paraId="5ED366B1" w14:textId="77777777" w:rsidR="00EF4BEC" w:rsidRDefault="009E2ACD">
            <w:pPr>
              <w:rPr>
                <w:rFonts w:cs="Arial"/>
                <w:sz w:val="16"/>
                <w:szCs w:val="16"/>
              </w:rPr>
            </w:pPr>
            <w:r>
              <w:rPr>
                <w:rFonts w:cs="Arial"/>
                <w:sz w:val="16"/>
                <w:szCs w:val="16"/>
              </w:rPr>
              <w:t>NA</w:t>
            </w:r>
          </w:p>
        </w:tc>
        <w:tc>
          <w:tcPr>
            <w:tcW w:w="1559" w:type="dxa"/>
            <w:shd w:val="clear" w:color="auto" w:fill="auto"/>
          </w:tcPr>
          <w:p w14:paraId="6F177D7F" w14:textId="77777777" w:rsidR="00EF4BEC" w:rsidRDefault="009E2ACD">
            <w:pPr>
              <w:rPr>
                <w:rFonts w:cs="Arial"/>
                <w:sz w:val="16"/>
                <w:szCs w:val="16"/>
              </w:rPr>
            </w:pPr>
            <w:r>
              <w:rPr>
                <w:rFonts w:cs="Arial"/>
                <w:sz w:val="16"/>
                <w:szCs w:val="16"/>
              </w:rPr>
              <w:t>T&amp;S</w:t>
            </w:r>
          </w:p>
        </w:tc>
        <w:tc>
          <w:tcPr>
            <w:tcW w:w="1559" w:type="dxa"/>
            <w:shd w:val="clear" w:color="auto" w:fill="auto"/>
          </w:tcPr>
          <w:p w14:paraId="7336723C" w14:textId="77777777" w:rsidR="00EF4BEC" w:rsidRDefault="009E2ACD">
            <w:pPr>
              <w:rPr>
                <w:rFonts w:cs="Arial"/>
                <w:sz w:val="16"/>
                <w:szCs w:val="16"/>
              </w:rPr>
            </w:pPr>
            <w:r>
              <w:rPr>
                <w:rFonts w:cs="Arial"/>
                <w:sz w:val="16"/>
                <w:szCs w:val="16"/>
              </w:rPr>
              <w:t>T&amp;S</w:t>
            </w:r>
          </w:p>
        </w:tc>
        <w:tc>
          <w:tcPr>
            <w:tcW w:w="1701" w:type="dxa"/>
            <w:shd w:val="clear" w:color="auto" w:fill="auto"/>
          </w:tcPr>
          <w:p w14:paraId="0AC966CE" w14:textId="77777777" w:rsidR="00EF4BEC" w:rsidRDefault="009E2ACD">
            <w:pPr>
              <w:rPr>
                <w:rFonts w:cs="Arial"/>
                <w:sz w:val="16"/>
                <w:szCs w:val="16"/>
              </w:rPr>
            </w:pPr>
            <w:r>
              <w:rPr>
                <w:rFonts w:cs="Arial"/>
                <w:sz w:val="16"/>
                <w:szCs w:val="16"/>
              </w:rPr>
              <w:t>T&amp;S</w:t>
            </w:r>
          </w:p>
        </w:tc>
        <w:tc>
          <w:tcPr>
            <w:tcW w:w="1701" w:type="dxa"/>
            <w:shd w:val="clear" w:color="auto" w:fill="auto"/>
          </w:tcPr>
          <w:p w14:paraId="6B799BD0" w14:textId="77777777" w:rsidR="00EF4BEC" w:rsidRDefault="009E2ACD">
            <w:pPr>
              <w:rPr>
                <w:rFonts w:cs="Arial"/>
                <w:sz w:val="16"/>
                <w:szCs w:val="16"/>
              </w:rPr>
            </w:pPr>
            <w:r>
              <w:rPr>
                <w:rFonts w:cs="Arial"/>
                <w:sz w:val="16"/>
                <w:szCs w:val="16"/>
              </w:rPr>
              <w:t>♀ &lt;50 anni</w:t>
            </w:r>
          </w:p>
        </w:tc>
      </w:tr>
      <w:tr w:rsidR="00EF4BEC" w14:paraId="50FFBB2D" w14:textId="77777777">
        <w:trPr>
          <w:cantSplit/>
        </w:trPr>
        <w:tc>
          <w:tcPr>
            <w:tcW w:w="1980" w:type="dxa"/>
            <w:shd w:val="clear" w:color="auto" w:fill="auto"/>
          </w:tcPr>
          <w:p w14:paraId="56DDAA65" w14:textId="77777777" w:rsidR="00EF4BEC" w:rsidRDefault="009E2ACD">
            <w:pPr>
              <w:rPr>
                <w:rFonts w:cs="Arial"/>
                <w:sz w:val="16"/>
                <w:szCs w:val="16"/>
              </w:rPr>
            </w:pPr>
            <w:r>
              <w:rPr>
                <w:rFonts w:cs="Arial"/>
                <w:sz w:val="16"/>
                <w:szCs w:val="16"/>
              </w:rPr>
              <w:t>Altri AC anti-RH**</w:t>
            </w:r>
          </w:p>
        </w:tc>
        <w:tc>
          <w:tcPr>
            <w:tcW w:w="1565" w:type="dxa"/>
            <w:shd w:val="clear" w:color="auto" w:fill="auto"/>
          </w:tcPr>
          <w:p w14:paraId="10DED0BE"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4EFAB9A7"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03B11117"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3AE95587"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24830266" w14:textId="77777777" w:rsidR="00EF4BEC" w:rsidRDefault="009E2ACD">
            <w:pPr>
              <w:rPr>
                <w:rFonts w:cs="Arial"/>
                <w:sz w:val="16"/>
                <w:szCs w:val="16"/>
              </w:rPr>
            </w:pPr>
            <w:r>
              <w:rPr>
                <w:rFonts w:cs="Arial"/>
                <w:sz w:val="16"/>
                <w:szCs w:val="16"/>
              </w:rPr>
              <w:t>Sì</w:t>
            </w:r>
          </w:p>
        </w:tc>
      </w:tr>
      <w:tr w:rsidR="00EF4BEC" w14:paraId="28AAD72A" w14:textId="77777777">
        <w:trPr>
          <w:cantSplit/>
        </w:trPr>
        <w:tc>
          <w:tcPr>
            <w:tcW w:w="1980" w:type="dxa"/>
            <w:shd w:val="clear" w:color="auto" w:fill="auto"/>
          </w:tcPr>
          <w:p w14:paraId="7DBC890E" w14:textId="77777777" w:rsidR="00EF4BEC" w:rsidRDefault="009E2ACD">
            <w:pPr>
              <w:rPr>
                <w:rFonts w:cs="Arial"/>
                <w:b/>
                <w:sz w:val="16"/>
                <w:szCs w:val="16"/>
              </w:rPr>
            </w:pPr>
            <w:r>
              <w:rPr>
                <w:rFonts w:cs="Arial"/>
                <w:b/>
                <w:sz w:val="16"/>
                <w:szCs w:val="16"/>
              </w:rPr>
              <w:t>KEL</w:t>
            </w:r>
          </w:p>
        </w:tc>
        <w:tc>
          <w:tcPr>
            <w:tcW w:w="1565" w:type="dxa"/>
            <w:shd w:val="clear" w:color="auto" w:fill="auto"/>
          </w:tcPr>
          <w:p w14:paraId="44E2EAE0" w14:textId="77777777" w:rsidR="00EF4BEC" w:rsidRDefault="00EF4BEC">
            <w:pPr>
              <w:rPr>
                <w:rFonts w:cs="Arial"/>
                <w:sz w:val="16"/>
                <w:szCs w:val="16"/>
              </w:rPr>
            </w:pPr>
          </w:p>
        </w:tc>
        <w:tc>
          <w:tcPr>
            <w:tcW w:w="1559" w:type="dxa"/>
            <w:shd w:val="clear" w:color="auto" w:fill="auto"/>
          </w:tcPr>
          <w:p w14:paraId="505978E7" w14:textId="77777777" w:rsidR="00EF4BEC" w:rsidRDefault="00EF4BEC">
            <w:pPr>
              <w:rPr>
                <w:rFonts w:cs="Arial"/>
                <w:sz w:val="16"/>
                <w:szCs w:val="16"/>
              </w:rPr>
            </w:pPr>
          </w:p>
        </w:tc>
        <w:tc>
          <w:tcPr>
            <w:tcW w:w="1559" w:type="dxa"/>
            <w:shd w:val="clear" w:color="auto" w:fill="auto"/>
          </w:tcPr>
          <w:p w14:paraId="1380147B" w14:textId="77777777" w:rsidR="00EF4BEC" w:rsidRDefault="00EF4BEC">
            <w:pPr>
              <w:rPr>
                <w:rFonts w:cs="Arial"/>
                <w:sz w:val="16"/>
                <w:szCs w:val="16"/>
              </w:rPr>
            </w:pPr>
          </w:p>
        </w:tc>
        <w:tc>
          <w:tcPr>
            <w:tcW w:w="1701" w:type="dxa"/>
            <w:shd w:val="clear" w:color="auto" w:fill="auto"/>
          </w:tcPr>
          <w:p w14:paraId="339E6F01" w14:textId="77777777" w:rsidR="00EF4BEC" w:rsidRDefault="00EF4BEC">
            <w:pPr>
              <w:rPr>
                <w:rFonts w:cs="Arial"/>
                <w:sz w:val="16"/>
                <w:szCs w:val="16"/>
              </w:rPr>
            </w:pPr>
          </w:p>
        </w:tc>
        <w:tc>
          <w:tcPr>
            <w:tcW w:w="1701" w:type="dxa"/>
            <w:shd w:val="clear" w:color="auto" w:fill="auto"/>
          </w:tcPr>
          <w:p w14:paraId="6015354E" w14:textId="77777777" w:rsidR="00EF4BEC" w:rsidRDefault="00EF4BEC">
            <w:pPr>
              <w:rPr>
                <w:rFonts w:cs="Arial"/>
                <w:sz w:val="16"/>
                <w:szCs w:val="16"/>
              </w:rPr>
            </w:pPr>
          </w:p>
        </w:tc>
      </w:tr>
      <w:tr w:rsidR="00EF4BEC" w14:paraId="19F1CECC" w14:textId="77777777">
        <w:trPr>
          <w:cantSplit/>
        </w:trPr>
        <w:tc>
          <w:tcPr>
            <w:tcW w:w="1980" w:type="dxa"/>
            <w:shd w:val="clear" w:color="auto" w:fill="auto"/>
          </w:tcPr>
          <w:p w14:paraId="3D0D3A54" w14:textId="77777777" w:rsidR="00EF4BEC" w:rsidRDefault="009E2ACD">
            <w:pPr>
              <w:rPr>
                <w:rFonts w:cs="Arial"/>
                <w:sz w:val="16"/>
                <w:szCs w:val="16"/>
                <w:lang w:val="it-IT"/>
              </w:rPr>
            </w:pPr>
            <w:r>
              <w:rPr>
                <w:rFonts w:cs="Arial"/>
                <w:sz w:val="16"/>
                <w:szCs w:val="16"/>
                <w:lang w:val="it-IT"/>
              </w:rPr>
              <w:t>Tutti AC KEL (Kell)</w:t>
            </w:r>
          </w:p>
        </w:tc>
        <w:tc>
          <w:tcPr>
            <w:tcW w:w="1565" w:type="dxa"/>
            <w:shd w:val="clear" w:color="auto" w:fill="auto"/>
          </w:tcPr>
          <w:p w14:paraId="3F837AB6"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32077BEC"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6429E479"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362EEAB2"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40EE885A" w14:textId="77777777" w:rsidR="00EF4BEC" w:rsidRDefault="009E2ACD">
            <w:pPr>
              <w:rPr>
                <w:rFonts w:cs="Arial"/>
                <w:sz w:val="16"/>
                <w:szCs w:val="16"/>
              </w:rPr>
            </w:pPr>
            <w:r>
              <w:rPr>
                <w:rFonts w:cs="Arial"/>
                <w:sz w:val="16"/>
                <w:szCs w:val="16"/>
              </w:rPr>
              <w:t>Sì</w:t>
            </w:r>
          </w:p>
        </w:tc>
      </w:tr>
      <w:tr w:rsidR="00EF4BEC" w14:paraId="692F12F0" w14:textId="77777777">
        <w:trPr>
          <w:cantSplit/>
        </w:trPr>
        <w:tc>
          <w:tcPr>
            <w:tcW w:w="1980" w:type="dxa"/>
            <w:shd w:val="clear" w:color="auto" w:fill="auto"/>
          </w:tcPr>
          <w:p w14:paraId="6C972360" w14:textId="77777777" w:rsidR="00EF4BEC" w:rsidRDefault="009E2ACD">
            <w:pPr>
              <w:rPr>
                <w:rFonts w:cs="Arial"/>
                <w:b/>
                <w:sz w:val="16"/>
                <w:szCs w:val="16"/>
              </w:rPr>
            </w:pPr>
            <w:r>
              <w:rPr>
                <w:rFonts w:cs="Arial"/>
                <w:b/>
                <w:sz w:val="16"/>
                <w:szCs w:val="16"/>
              </w:rPr>
              <w:t>JK</w:t>
            </w:r>
          </w:p>
        </w:tc>
        <w:tc>
          <w:tcPr>
            <w:tcW w:w="1565" w:type="dxa"/>
            <w:shd w:val="clear" w:color="auto" w:fill="auto"/>
          </w:tcPr>
          <w:p w14:paraId="7D350DB6" w14:textId="77777777" w:rsidR="00EF4BEC" w:rsidRDefault="00EF4BEC">
            <w:pPr>
              <w:rPr>
                <w:rFonts w:cs="Arial"/>
                <w:sz w:val="16"/>
                <w:szCs w:val="16"/>
              </w:rPr>
            </w:pPr>
          </w:p>
        </w:tc>
        <w:tc>
          <w:tcPr>
            <w:tcW w:w="1559" w:type="dxa"/>
            <w:shd w:val="clear" w:color="auto" w:fill="auto"/>
          </w:tcPr>
          <w:p w14:paraId="775BF86C" w14:textId="77777777" w:rsidR="00EF4BEC" w:rsidRDefault="00EF4BEC">
            <w:pPr>
              <w:rPr>
                <w:rFonts w:cs="Arial"/>
                <w:sz w:val="16"/>
                <w:szCs w:val="16"/>
              </w:rPr>
            </w:pPr>
          </w:p>
        </w:tc>
        <w:tc>
          <w:tcPr>
            <w:tcW w:w="1559" w:type="dxa"/>
            <w:shd w:val="clear" w:color="auto" w:fill="auto"/>
          </w:tcPr>
          <w:p w14:paraId="1E564A70" w14:textId="77777777" w:rsidR="00EF4BEC" w:rsidRDefault="00EF4BEC">
            <w:pPr>
              <w:rPr>
                <w:rFonts w:cs="Arial"/>
                <w:sz w:val="16"/>
                <w:szCs w:val="16"/>
              </w:rPr>
            </w:pPr>
          </w:p>
        </w:tc>
        <w:tc>
          <w:tcPr>
            <w:tcW w:w="1701" w:type="dxa"/>
            <w:shd w:val="clear" w:color="auto" w:fill="auto"/>
          </w:tcPr>
          <w:p w14:paraId="6F726042" w14:textId="77777777" w:rsidR="00EF4BEC" w:rsidRDefault="00EF4BEC">
            <w:pPr>
              <w:rPr>
                <w:rFonts w:cs="Arial"/>
                <w:sz w:val="16"/>
                <w:szCs w:val="16"/>
              </w:rPr>
            </w:pPr>
          </w:p>
        </w:tc>
        <w:tc>
          <w:tcPr>
            <w:tcW w:w="1701" w:type="dxa"/>
            <w:shd w:val="clear" w:color="auto" w:fill="auto"/>
          </w:tcPr>
          <w:p w14:paraId="11E3BF50" w14:textId="77777777" w:rsidR="00EF4BEC" w:rsidRDefault="00EF4BEC">
            <w:pPr>
              <w:rPr>
                <w:rFonts w:cs="Arial"/>
                <w:sz w:val="16"/>
                <w:szCs w:val="16"/>
              </w:rPr>
            </w:pPr>
          </w:p>
        </w:tc>
      </w:tr>
      <w:tr w:rsidR="00EF4BEC" w14:paraId="278E04A0" w14:textId="77777777">
        <w:trPr>
          <w:cantSplit/>
        </w:trPr>
        <w:tc>
          <w:tcPr>
            <w:tcW w:w="1980" w:type="dxa"/>
            <w:shd w:val="clear" w:color="auto" w:fill="auto"/>
          </w:tcPr>
          <w:p w14:paraId="4DF667D7" w14:textId="77777777" w:rsidR="00EF4BEC" w:rsidRDefault="009E2ACD">
            <w:pPr>
              <w:rPr>
                <w:rFonts w:cs="Arial"/>
                <w:sz w:val="16"/>
                <w:szCs w:val="16"/>
              </w:rPr>
            </w:pPr>
            <w:r>
              <w:rPr>
                <w:rFonts w:cs="Arial"/>
                <w:sz w:val="16"/>
                <w:szCs w:val="16"/>
              </w:rPr>
              <w:t>Tutti AC JK (Kidd)</w:t>
            </w:r>
          </w:p>
        </w:tc>
        <w:tc>
          <w:tcPr>
            <w:tcW w:w="1565" w:type="dxa"/>
            <w:shd w:val="clear" w:color="auto" w:fill="auto"/>
          </w:tcPr>
          <w:p w14:paraId="00FA771B"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23B7EBAD"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61D90D69"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5EE45803"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79114B98" w14:textId="77777777" w:rsidR="00EF4BEC" w:rsidRDefault="009E2ACD">
            <w:pPr>
              <w:rPr>
                <w:rFonts w:cs="Arial"/>
                <w:sz w:val="16"/>
                <w:szCs w:val="16"/>
              </w:rPr>
            </w:pPr>
            <w:r>
              <w:rPr>
                <w:rFonts w:cs="Arial"/>
                <w:sz w:val="16"/>
                <w:szCs w:val="16"/>
              </w:rPr>
              <w:t>Sì</w:t>
            </w:r>
          </w:p>
        </w:tc>
      </w:tr>
      <w:tr w:rsidR="00EF4BEC" w14:paraId="602E9243" w14:textId="77777777">
        <w:trPr>
          <w:cantSplit/>
        </w:trPr>
        <w:tc>
          <w:tcPr>
            <w:tcW w:w="1980" w:type="dxa"/>
            <w:shd w:val="clear" w:color="auto" w:fill="auto"/>
          </w:tcPr>
          <w:p w14:paraId="0E543217" w14:textId="77777777" w:rsidR="00EF4BEC" w:rsidRDefault="009E2ACD">
            <w:pPr>
              <w:rPr>
                <w:rFonts w:cs="Arial"/>
                <w:b/>
                <w:sz w:val="16"/>
                <w:szCs w:val="16"/>
              </w:rPr>
            </w:pPr>
            <w:r>
              <w:rPr>
                <w:rFonts w:cs="Arial"/>
                <w:b/>
                <w:sz w:val="16"/>
                <w:szCs w:val="16"/>
              </w:rPr>
              <w:t>FY</w:t>
            </w:r>
          </w:p>
        </w:tc>
        <w:tc>
          <w:tcPr>
            <w:tcW w:w="1565" w:type="dxa"/>
            <w:shd w:val="clear" w:color="auto" w:fill="auto"/>
          </w:tcPr>
          <w:p w14:paraId="4F12462A" w14:textId="77777777" w:rsidR="00EF4BEC" w:rsidRDefault="00EF4BEC">
            <w:pPr>
              <w:rPr>
                <w:rFonts w:cs="Arial"/>
                <w:sz w:val="16"/>
                <w:szCs w:val="16"/>
              </w:rPr>
            </w:pPr>
          </w:p>
        </w:tc>
        <w:tc>
          <w:tcPr>
            <w:tcW w:w="1559" w:type="dxa"/>
            <w:shd w:val="clear" w:color="auto" w:fill="auto"/>
          </w:tcPr>
          <w:p w14:paraId="0B1AA0BD" w14:textId="77777777" w:rsidR="00EF4BEC" w:rsidRDefault="00EF4BEC">
            <w:pPr>
              <w:rPr>
                <w:rFonts w:cs="Arial"/>
                <w:sz w:val="16"/>
                <w:szCs w:val="16"/>
              </w:rPr>
            </w:pPr>
          </w:p>
        </w:tc>
        <w:tc>
          <w:tcPr>
            <w:tcW w:w="1559" w:type="dxa"/>
            <w:shd w:val="clear" w:color="auto" w:fill="auto"/>
          </w:tcPr>
          <w:p w14:paraId="17952038" w14:textId="77777777" w:rsidR="00EF4BEC" w:rsidRDefault="00EF4BEC">
            <w:pPr>
              <w:rPr>
                <w:rFonts w:cs="Arial"/>
                <w:sz w:val="16"/>
                <w:szCs w:val="16"/>
              </w:rPr>
            </w:pPr>
          </w:p>
        </w:tc>
        <w:tc>
          <w:tcPr>
            <w:tcW w:w="1701" w:type="dxa"/>
            <w:shd w:val="clear" w:color="auto" w:fill="auto"/>
          </w:tcPr>
          <w:p w14:paraId="4F01C89A" w14:textId="77777777" w:rsidR="00EF4BEC" w:rsidRDefault="00EF4BEC">
            <w:pPr>
              <w:rPr>
                <w:rFonts w:cs="Arial"/>
                <w:sz w:val="16"/>
                <w:szCs w:val="16"/>
              </w:rPr>
            </w:pPr>
          </w:p>
        </w:tc>
        <w:tc>
          <w:tcPr>
            <w:tcW w:w="1701" w:type="dxa"/>
            <w:shd w:val="clear" w:color="auto" w:fill="auto"/>
          </w:tcPr>
          <w:p w14:paraId="1279A7FF" w14:textId="77777777" w:rsidR="00EF4BEC" w:rsidRDefault="00EF4BEC">
            <w:pPr>
              <w:rPr>
                <w:rFonts w:cs="Arial"/>
                <w:sz w:val="16"/>
                <w:szCs w:val="16"/>
              </w:rPr>
            </w:pPr>
          </w:p>
        </w:tc>
      </w:tr>
      <w:tr w:rsidR="00EF4BEC" w14:paraId="33938814" w14:textId="77777777">
        <w:trPr>
          <w:cantSplit/>
        </w:trPr>
        <w:tc>
          <w:tcPr>
            <w:tcW w:w="1980" w:type="dxa"/>
            <w:shd w:val="clear" w:color="auto" w:fill="auto"/>
          </w:tcPr>
          <w:p w14:paraId="75AE101E" w14:textId="77777777" w:rsidR="00EF4BEC" w:rsidRDefault="009E2ACD">
            <w:pPr>
              <w:rPr>
                <w:rFonts w:cs="Arial"/>
                <w:sz w:val="16"/>
                <w:szCs w:val="16"/>
              </w:rPr>
            </w:pPr>
            <w:r>
              <w:rPr>
                <w:rFonts w:cs="Arial"/>
                <w:sz w:val="16"/>
                <w:szCs w:val="16"/>
              </w:rPr>
              <w:t>Tutti AC FY (Duffy)</w:t>
            </w:r>
          </w:p>
        </w:tc>
        <w:tc>
          <w:tcPr>
            <w:tcW w:w="1565" w:type="dxa"/>
            <w:shd w:val="clear" w:color="auto" w:fill="auto"/>
          </w:tcPr>
          <w:p w14:paraId="31AD51CD"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6127E589" w14:textId="77777777" w:rsidR="00EF4BEC" w:rsidRDefault="009E2ACD">
            <w:pPr>
              <w:rPr>
                <w:rFonts w:cs="Arial"/>
                <w:sz w:val="16"/>
                <w:szCs w:val="16"/>
              </w:rPr>
            </w:pPr>
            <w:r>
              <w:rPr>
                <w:rFonts w:cs="Arial"/>
                <w:sz w:val="16"/>
                <w:szCs w:val="16"/>
              </w:rPr>
              <w:t>NA</w:t>
            </w:r>
          </w:p>
        </w:tc>
        <w:tc>
          <w:tcPr>
            <w:tcW w:w="1559" w:type="dxa"/>
            <w:shd w:val="clear" w:color="auto" w:fill="auto"/>
          </w:tcPr>
          <w:p w14:paraId="529D9E39"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03CBC84D"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3BCFF269" w14:textId="77777777" w:rsidR="00EF4BEC" w:rsidRDefault="009E2ACD">
            <w:pPr>
              <w:rPr>
                <w:rFonts w:cs="Arial"/>
                <w:sz w:val="16"/>
                <w:szCs w:val="16"/>
              </w:rPr>
            </w:pPr>
            <w:r>
              <w:rPr>
                <w:rFonts w:cs="Arial"/>
                <w:sz w:val="16"/>
                <w:szCs w:val="16"/>
              </w:rPr>
              <w:t>Sì</w:t>
            </w:r>
          </w:p>
        </w:tc>
      </w:tr>
      <w:tr w:rsidR="00EF4BEC" w14:paraId="1E2B2497" w14:textId="77777777">
        <w:trPr>
          <w:cantSplit/>
        </w:trPr>
        <w:tc>
          <w:tcPr>
            <w:tcW w:w="1980" w:type="dxa"/>
            <w:shd w:val="clear" w:color="auto" w:fill="auto"/>
          </w:tcPr>
          <w:p w14:paraId="3DD82A41" w14:textId="77777777" w:rsidR="00EF4BEC" w:rsidRDefault="009E2ACD">
            <w:pPr>
              <w:rPr>
                <w:rFonts w:cs="Arial"/>
                <w:b/>
                <w:sz w:val="16"/>
                <w:szCs w:val="16"/>
              </w:rPr>
            </w:pPr>
            <w:r>
              <w:rPr>
                <w:rFonts w:cs="Arial"/>
                <w:b/>
                <w:sz w:val="16"/>
                <w:szCs w:val="16"/>
              </w:rPr>
              <w:t>MNS</w:t>
            </w:r>
          </w:p>
        </w:tc>
        <w:tc>
          <w:tcPr>
            <w:tcW w:w="1565" w:type="dxa"/>
            <w:shd w:val="clear" w:color="auto" w:fill="auto"/>
          </w:tcPr>
          <w:p w14:paraId="28D9C1ED" w14:textId="77777777" w:rsidR="00EF4BEC" w:rsidRDefault="00EF4BEC">
            <w:pPr>
              <w:rPr>
                <w:rFonts w:cs="Arial"/>
                <w:sz w:val="16"/>
                <w:szCs w:val="16"/>
              </w:rPr>
            </w:pPr>
          </w:p>
        </w:tc>
        <w:tc>
          <w:tcPr>
            <w:tcW w:w="1559" w:type="dxa"/>
            <w:shd w:val="clear" w:color="auto" w:fill="auto"/>
          </w:tcPr>
          <w:p w14:paraId="44F1716C" w14:textId="77777777" w:rsidR="00EF4BEC" w:rsidRDefault="00EF4BEC">
            <w:pPr>
              <w:rPr>
                <w:rFonts w:cs="Arial"/>
                <w:sz w:val="16"/>
                <w:szCs w:val="16"/>
              </w:rPr>
            </w:pPr>
          </w:p>
        </w:tc>
        <w:tc>
          <w:tcPr>
            <w:tcW w:w="1559" w:type="dxa"/>
            <w:shd w:val="clear" w:color="auto" w:fill="auto"/>
          </w:tcPr>
          <w:p w14:paraId="7D990B48" w14:textId="77777777" w:rsidR="00EF4BEC" w:rsidRDefault="00EF4BEC">
            <w:pPr>
              <w:rPr>
                <w:rFonts w:cs="Arial"/>
                <w:sz w:val="16"/>
                <w:szCs w:val="16"/>
              </w:rPr>
            </w:pPr>
          </w:p>
        </w:tc>
        <w:tc>
          <w:tcPr>
            <w:tcW w:w="1701" w:type="dxa"/>
            <w:shd w:val="clear" w:color="auto" w:fill="auto"/>
          </w:tcPr>
          <w:p w14:paraId="7352BB32" w14:textId="77777777" w:rsidR="00EF4BEC" w:rsidRDefault="00EF4BEC">
            <w:pPr>
              <w:rPr>
                <w:rFonts w:cs="Arial"/>
                <w:sz w:val="16"/>
                <w:szCs w:val="16"/>
              </w:rPr>
            </w:pPr>
          </w:p>
        </w:tc>
        <w:tc>
          <w:tcPr>
            <w:tcW w:w="1701" w:type="dxa"/>
            <w:shd w:val="clear" w:color="auto" w:fill="auto"/>
          </w:tcPr>
          <w:p w14:paraId="47E458B0" w14:textId="77777777" w:rsidR="00EF4BEC" w:rsidRDefault="00EF4BEC">
            <w:pPr>
              <w:rPr>
                <w:rFonts w:cs="Arial"/>
                <w:sz w:val="16"/>
                <w:szCs w:val="16"/>
              </w:rPr>
            </w:pPr>
          </w:p>
        </w:tc>
      </w:tr>
      <w:tr w:rsidR="00EF4BEC" w14:paraId="5631A0A2" w14:textId="77777777">
        <w:trPr>
          <w:cantSplit/>
        </w:trPr>
        <w:tc>
          <w:tcPr>
            <w:tcW w:w="1980" w:type="dxa"/>
            <w:shd w:val="clear" w:color="auto" w:fill="auto"/>
          </w:tcPr>
          <w:p w14:paraId="782787B9" w14:textId="77777777" w:rsidR="00EF4BEC" w:rsidRPr="008B6ADF" w:rsidRDefault="009E2ACD">
            <w:pPr>
              <w:rPr>
                <w:rFonts w:cs="Arial"/>
                <w:sz w:val="16"/>
                <w:szCs w:val="16"/>
                <w:lang w:val="en-US"/>
              </w:rPr>
            </w:pPr>
            <w:r w:rsidRPr="008B6ADF">
              <w:rPr>
                <w:rFonts w:cs="Arial"/>
                <w:sz w:val="16"/>
                <w:szCs w:val="16"/>
                <w:lang w:val="en-US"/>
              </w:rPr>
              <w:t>Anti-MNS1 (anti-M), anti-MNS2 (anti-N)</w:t>
            </w:r>
          </w:p>
        </w:tc>
        <w:tc>
          <w:tcPr>
            <w:tcW w:w="1565" w:type="dxa"/>
            <w:shd w:val="clear" w:color="auto" w:fill="auto"/>
          </w:tcPr>
          <w:p w14:paraId="1F8EC05E" w14:textId="77777777" w:rsidR="00EF4BEC" w:rsidRDefault="009E2ACD">
            <w:pPr>
              <w:rPr>
                <w:rFonts w:cs="Arial"/>
                <w:sz w:val="16"/>
                <w:szCs w:val="16"/>
              </w:rPr>
            </w:pPr>
            <w:r>
              <w:rPr>
                <w:rFonts w:cs="Arial"/>
                <w:sz w:val="16"/>
                <w:szCs w:val="16"/>
              </w:rPr>
              <w:t>T&amp;S</w:t>
            </w:r>
          </w:p>
        </w:tc>
        <w:tc>
          <w:tcPr>
            <w:tcW w:w="1559" w:type="dxa"/>
            <w:shd w:val="clear" w:color="auto" w:fill="auto"/>
          </w:tcPr>
          <w:p w14:paraId="427688E0" w14:textId="77777777" w:rsidR="00EF4BEC" w:rsidRDefault="009E2ACD">
            <w:pPr>
              <w:rPr>
                <w:rFonts w:cs="Arial"/>
                <w:sz w:val="16"/>
                <w:szCs w:val="16"/>
              </w:rPr>
            </w:pPr>
            <w:r>
              <w:rPr>
                <w:rFonts w:cs="Arial"/>
                <w:sz w:val="16"/>
                <w:szCs w:val="16"/>
              </w:rPr>
              <w:t>NA</w:t>
            </w:r>
          </w:p>
        </w:tc>
        <w:tc>
          <w:tcPr>
            <w:tcW w:w="1559" w:type="dxa"/>
            <w:shd w:val="clear" w:color="auto" w:fill="auto"/>
          </w:tcPr>
          <w:p w14:paraId="586DD217"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08219899" w14:textId="77777777" w:rsidR="00EF4BEC" w:rsidRDefault="009E2ACD">
            <w:pPr>
              <w:rPr>
                <w:rFonts w:cs="Arial"/>
                <w:sz w:val="16"/>
                <w:szCs w:val="16"/>
              </w:rPr>
            </w:pPr>
            <w:r>
              <w:rPr>
                <w:rFonts w:cs="Arial"/>
                <w:sz w:val="16"/>
                <w:szCs w:val="16"/>
              </w:rPr>
              <w:t>T&amp;S</w:t>
            </w:r>
          </w:p>
        </w:tc>
        <w:tc>
          <w:tcPr>
            <w:tcW w:w="1701" w:type="dxa"/>
            <w:shd w:val="clear" w:color="auto" w:fill="auto"/>
          </w:tcPr>
          <w:p w14:paraId="0BE7C9B3" w14:textId="77777777" w:rsidR="00EF4BEC" w:rsidRDefault="009E2ACD">
            <w:pPr>
              <w:rPr>
                <w:rFonts w:cs="Arial"/>
                <w:sz w:val="16"/>
                <w:szCs w:val="16"/>
              </w:rPr>
            </w:pPr>
            <w:r>
              <w:rPr>
                <w:rFonts w:cs="Arial"/>
                <w:sz w:val="16"/>
                <w:szCs w:val="16"/>
              </w:rPr>
              <w:t>♀ &lt;50 anni</w:t>
            </w:r>
          </w:p>
        </w:tc>
      </w:tr>
      <w:tr w:rsidR="00EF4BEC" w14:paraId="4ED1EA4D" w14:textId="77777777">
        <w:trPr>
          <w:cantSplit/>
        </w:trPr>
        <w:tc>
          <w:tcPr>
            <w:tcW w:w="1980" w:type="dxa"/>
            <w:shd w:val="clear" w:color="auto" w:fill="auto"/>
          </w:tcPr>
          <w:p w14:paraId="48EC4111" w14:textId="77777777" w:rsidR="00EF4BEC" w:rsidRDefault="009E2ACD">
            <w:pPr>
              <w:rPr>
                <w:rFonts w:cs="Arial"/>
                <w:sz w:val="16"/>
                <w:szCs w:val="16"/>
                <w:lang w:val="en-US"/>
              </w:rPr>
            </w:pPr>
            <w:r>
              <w:rPr>
                <w:rFonts w:cs="Arial"/>
                <w:sz w:val="16"/>
                <w:szCs w:val="16"/>
                <w:lang w:val="en-US"/>
              </w:rPr>
              <w:t xml:space="preserve">Anti-MNS3 (anti-S), </w:t>
            </w:r>
            <w:r>
              <w:rPr>
                <w:rFonts w:cs="Arial"/>
                <w:sz w:val="16"/>
                <w:szCs w:val="16"/>
                <w:lang w:val="en-US"/>
              </w:rPr>
              <w:br/>
              <w:t xml:space="preserve">anti-MNS4 (anti-s), </w:t>
            </w:r>
            <w:r>
              <w:rPr>
                <w:rFonts w:cs="Arial"/>
                <w:sz w:val="16"/>
                <w:szCs w:val="16"/>
                <w:lang w:val="en-US"/>
              </w:rPr>
              <w:br/>
              <w:t>anti-MNS5 (anti-U)</w:t>
            </w:r>
          </w:p>
        </w:tc>
        <w:tc>
          <w:tcPr>
            <w:tcW w:w="1565" w:type="dxa"/>
            <w:shd w:val="clear" w:color="auto" w:fill="auto"/>
          </w:tcPr>
          <w:p w14:paraId="2A88F754"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6385164C"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03B55813"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5F008B0C"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32E32367" w14:textId="77777777" w:rsidR="00EF4BEC" w:rsidRDefault="009E2ACD">
            <w:pPr>
              <w:rPr>
                <w:rFonts w:cs="Arial"/>
                <w:sz w:val="16"/>
                <w:szCs w:val="16"/>
              </w:rPr>
            </w:pPr>
            <w:r>
              <w:rPr>
                <w:rFonts w:cs="Arial"/>
                <w:sz w:val="16"/>
                <w:szCs w:val="16"/>
              </w:rPr>
              <w:t>Sì</w:t>
            </w:r>
          </w:p>
        </w:tc>
      </w:tr>
      <w:tr w:rsidR="00EF4BEC" w14:paraId="45DA7A22" w14:textId="77777777">
        <w:trPr>
          <w:cantSplit/>
        </w:trPr>
        <w:tc>
          <w:tcPr>
            <w:tcW w:w="1980" w:type="dxa"/>
            <w:shd w:val="clear" w:color="auto" w:fill="auto"/>
          </w:tcPr>
          <w:p w14:paraId="66167B8A" w14:textId="77777777" w:rsidR="00EF4BEC" w:rsidRDefault="009E2ACD">
            <w:pPr>
              <w:rPr>
                <w:rFonts w:cs="Arial"/>
                <w:b/>
                <w:sz w:val="16"/>
                <w:szCs w:val="16"/>
              </w:rPr>
            </w:pPr>
            <w:r>
              <w:rPr>
                <w:rFonts w:cs="Arial"/>
                <w:b/>
                <w:sz w:val="16"/>
                <w:szCs w:val="16"/>
              </w:rPr>
              <w:t>LE</w:t>
            </w:r>
          </w:p>
        </w:tc>
        <w:tc>
          <w:tcPr>
            <w:tcW w:w="1565" w:type="dxa"/>
            <w:shd w:val="clear" w:color="auto" w:fill="auto"/>
          </w:tcPr>
          <w:p w14:paraId="078E48BC" w14:textId="77777777" w:rsidR="00EF4BEC" w:rsidRDefault="00EF4BEC">
            <w:pPr>
              <w:rPr>
                <w:rFonts w:cs="Arial"/>
                <w:sz w:val="16"/>
                <w:szCs w:val="16"/>
              </w:rPr>
            </w:pPr>
          </w:p>
        </w:tc>
        <w:tc>
          <w:tcPr>
            <w:tcW w:w="1559" w:type="dxa"/>
            <w:shd w:val="clear" w:color="auto" w:fill="auto"/>
          </w:tcPr>
          <w:p w14:paraId="7889017A" w14:textId="77777777" w:rsidR="00EF4BEC" w:rsidRDefault="00EF4BEC">
            <w:pPr>
              <w:rPr>
                <w:rFonts w:cs="Arial"/>
                <w:sz w:val="16"/>
                <w:szCs w:val="16"/>
              </w:rPr>
            </w:pPr>
          </w:p>
        </w:tc>
        <w:tc>
          <w:tcPr>
            <w:tcW w:w="1559" w:type="dxa"/>
            <w:shd w:val="clear" w:color="auto" w:fill="auto"/>
          </w:tcPr>
          <w:p w14:paraId="3B0A9377" w14:textId="77777777" w:rsidR="00EF4BEC" w:rsidRDefault="00EF4BEC">
            <w:pPr>
              <w:rPr>
                <w:rFonts w:cs="Arial"/>
                <w:sz w:val="16"/>
                <w:szCs w:val="16"/>
              </w:rPr>
            </w:pPr>
          </w:p>
        </w:tc>
        <w:tc>
          <w:tcPr>
            <w:tcW w:w="1701" w:type="dxa"/>
            <w:shd w:val="clear" w:color="auto" w:fill="auto"/>
          </w:tcPr>
          <w:p w14:paraId="1FC816AC" w14:textId="77777777" w:rsidR="00EF4BEC" w:rsidRDefault="00EF4BEC">
            <w:pPr>
              <w:rPr>
                <w:rFonts w:cs="Arial"/>
                <w:sz w:val="16"/>
                <w:szCs w:val="16"/>
              </w:rPr>
            </w:pPr>
          </w:p>
        </w:tc>
        <w:tc>
          <w:tcPr>
            <w:tcW w:w="1701" w:type="dxa"/>
            <w:shd w:val="clear" w:color="auto" w:fill="auto"/>
          </w:tcPr>
          <w:p w14:paraId="5A1A812D" w14:textId="77777777" w:rsidR="00EF4BEC" w:rsidRDefault="00EF4BEC">
            <w:pPr>
              <w:rPr>
                <w:rFonts w:cs="Arial"/>
                <w:sz w:val="16"/>
                <w:szCs w:val="16"/>
              </w:rPr>
            </w:pPr>
          </w:p>
        </w:tc>
      </w:tr>
      <w:tr w:rsidR="00EF4BEC" w14:paraId="21103DBB" w14:textId="77777777">
        <w:trPr>
          <w:cantSplit/>
          <w:trHeight w:val="190"/>
        </w:trPr>
        <w:tc>
          <w:tcPr>
            <w:tcW w:w="1980" w:type="dxa"/>
            <w:shd w:val="clear" w:color="auto" w:fill="auto"/>
          </w:tcPr>
          <w:p w14:paraId="698C3B92" w14:textId="77777777" w:rsidR="00EF4BEC" w:rsidRDefault="009E2ACD">
            <w:pPr>
              <w:rPr>
                <w:rFonts w:cs="Arial"/>
                <w:sz w:val="16"/>
                <w:szCs w:val="16"/>
                <w:lang w:val="it-IT"/>
              </w:rPr>
            </w:pPr>
            <w:r>
              <w:rPr>
                <w:rFonts w:cs="Arial"/>
                <w:sz w:val="16"/>
                <w:szCs w:val="16"/>
                <w:lang w:val="it-IT"/>
              </w:rPr>
              <w:t>Anti-LE1 (anti-Le</w:t>
            </w:r>
            <w:r>
              <w:rPr>
                <w:rFonts w:cs="Arial"/>
                <w:sz w:val="16"/>
                <w:szCs w:val="16"/>
                <w:vertAlign w:val="superscript"/>
                <w:lang w:val="it-IT"/>
              </w:rPr>
              <w:t>a</w:t>
            </w:r>
            <w:r>
              <w:rPr>
                <w:rFonts w:cs="Arial"/>
                <w:sz w:val="16"/>
                <w:szCs w:val="16"/>
                <w:lang w:val="it-IT"/>
              </w:rPr>
              <w:t xml:space="preserve">), </w:t>
            </w:r>
            <w:r>
              <w:rPr>
                <w:rFonts w:cs="Arial"/>
                <w:sz w:val="16"/>
                <w:szCs w:val="16"/>
                <w:lang w:val="it-IT"/>
              </w:rPr>
              <w:br/>
              <w:t>anti-LE2 (anti-Le</w:t>
            </w:r>
            <w:r>
              <w:rPr>
                <w:rFonts w:cs="Arial"/>
                <w:sz w:val="16"/>
                <w:szCs w:val="16"/>
                <w:vertAlign w:val="superscript"/>
                <w:lang w:val="it-IT"/>
              </w:rPr>
              <w:t>b</w:t>
            </w:r>
            <w:r>
              <w:rPr>
                <w:rFonts w:cs="Arial"/>
                <w:sz w:val="16"/>
                <w:szCs w:val="16"/>
                <w:lang w:val="it-IT"/>
              </w:rPr>
              <w:t>)</w:t>
            </w:r>
          </w:p>
        </w:tc>
        <w:tc>
          <w:tcPr>
            <w:tcW w:w="1565" w:type="dxa"/>
            <w:shd w:val="clear" w:color="auto" w:fill="auto"/>
          </w:tcPr>
          <w:p w14:paraId="43D64C58" w14:textId="77777777" w:rsidR="00EF4BEC" w:rsidRDefault="009E2ACD">
            <w:pPr>
              <w:rPr>
                <w:rFonts w:cs="Arial"/>
                <w:sz w:val="16"/>
                <w:szCs w:val="16"/>
              </w:rPr>
            </w:pPr>
            <w:r>
              <w:rPr>
                <w:rFonts w:cs="Arial"/>
                <w:sz w:val="16"/>
                <w:szCs w:val="16"/>
              </w:rPr>
              <w:t>T&amp;S</w:t>
            </w:r>
          </w:p>
        </w:tc>
        <w:tc>
          <w:tcPr>
            <w:tcW w:w="1559" w:type="dxa"/>
            <w:shd w:val="clear" w:color="auto" w:fill="auto"/>
          </w:tcPr>
          <w:p w14:paraId="0F3BB2EC" w14:textId="77777777" w:rsidR="00EF4BEC" w:rsidRDefault="009E2ACD">
            <w:pPr>
              <w:rPr>
                <w:rFonts w:cs="Arial"/>
                <w:sz w:val="16"/>
                <w:szCs w:val="16"/>
              </w:rPr>
            </w:pPr>
            <w:r>
              <w:rPr>
                <w:rFonts w:cs="Arial"/>
                <w:sz w:val="16"/>
                <w:szCs w:val="16"/>
              </w:rPr>
              <w:t>T&amp;S</w:t>
            </w:r>
          </w:p>
        </w:tc>
        <w:tc>
          <w:tcPr>
            <w:tcW w:w="1559" w:type="dxa"/>
            <w:shd w:val="clear" w:color="auto" w:fill="auto"/>
          </w:tcPr>
          <w:p w14:paraId="004BD13E" w14:textId="77777777" w:rsidR="00EF4BEC" w:rsidRDefault="009E2ACD">
            <w:pPr>
              <w:rPr>
                <w:rFonts w:cs="Arial"/>
                <w:sz w:val="16"/>
                <w:szCs w:val="16"/>
              </w:rPr>
            </w:pPr>
            <w:r>
              <w:rPr>
                <w:rFonts w:cs="Arial"/>
                <w:sz w:val="16"/>
                <w:szCs w:val="16"/>
              </w:rPr>
              <w:t>TC neg.</w:t>
            </w:r>
          </w:p>
        </w:tc>
        <w:tc>
          <w:tcPr>
            <w:tcW w:w="1701" w:type="dxa"/>
            <w:shd w:val="clear" w:color="auto" w:fill="auto"/>
          </w:tcPr>
          <w:p w14:paraId="77A6F244" w14:textId="77777777" w:rsidR="00EF4BEC" w:rsidRDefault="009E2ACD">
            <w:pPr>
              <w:rPr>
                <w:rFonts w:cs="Arial"/>
                <w:sz w:val="16"/>
                <w:szCs w:val="16"/>
              </w:rPr>
            </w:pPr>
            <w:r>
              <w:rPr>
                <w:rFonts w:cs="Arial"/>
                <w:sz w:val="16"/>
                <w:szCs w:val="16"/>
              </w:rPr>
              <w:t>T&amp;S</w:t>
            </w:r>
          </w:p>
        </w:tc>
        <w:tc>
          <w:tcPr>
            <w:tcW w:w="1701" w:type="dxa"/>
            <w:shd w:val="clear" w:color="auto" w:fill="auto"/>
          </w:tcPr>
          <w:p w14:paraId="5AA90421" w14:textId="77777777" w:rsidR="00EF4BEC" w:rsidRDefault="009E2ACD">
            <w:pPr>
              <w:rPr>
                <w:rFonts w:cs="Arial"/>
                <w:sz w:val="16"/>
                <w:szCs w:val="16"/>
              </w:rPr>
            </w:pPr>
            <w:r>
              <w:rPr>
                <w:rFonts w:cs="Arial"/>
                <w:sz w:val="16"/>
                <w:szCs w:val="16"/>
              </w:rPr>
              <w:t>♀ &lt;50 anni</w:t>
            </w:r>
          </w:p>
        </w:tc>
      </w:tr>
      <w:tr w:rsidR="00EF4BEC" w14:paraId="3C40EBF3" w14:textId="77777777">
        <w:trPr>
          <w:cantSplit/>
        </w:trPr>
        <w:tc>
          <w:tcPr>
            <w:tcW w:w="1980" w:type="dxa"/>
            <w:shd w:val="clear" w:color="auto" w:fill="auto"/>
          </w:tcPr>
          <w:p w14:paraId="071CFD50" w14:textId="77777777" w:rsidR="00EF4BEC" w:rsidRDefault="009E2ACD">
            <w:pPr>
              <w:rPr>
                <w:rFonts w:cs="Arial"/>
                <w:b/>
                <w:sz w:val="16"/>
                <w:szCs w:val="16"/>
              </w:rPr>
            </w:pPr>
            <w:r>
              <w:rPr>
                <w:rFonts w:cs="Arial"/>
                <w:b/>
                <w:sz w:val="16"/>
                <w:szCs w:val="16"/>
              </w:rPr>
              <w:t>P1PK</w:t>
            </w:r>
          </w:p>
        </w:tc>
        <w:tc>
          <w:tcPr>
            <w:tcW w:w="1565" w:type="dxa"/>
            <w:shd w:val="clear" w:color="auto" w:fill="auto"/>
          </w:tcPr>
          <w:p w14:paraId="7E2E9963" w14:textId="77777777" w:rsidR="00EF4BEC" w:rsidRDefault="00EF4BEC">
            <w:pPr>
              <w:rPr>
                <w:rFonts w:cs="Arial"/>
                <w:sz w:val="16"/>
                <w:szCs w:val="16"/>
              </w:rPr>
            </w:pPr>
          </w:p>
        </w:tc>
        <w:tc>
          <w:tcPr>
            <w:tcW w:w="1559" w:type="dxa"/>
            <w:shd w:val="clear" w:color="auto" w:fill="auto"/>
          </w:tcPr>
          <w:p w14:paraId="5CBF5510" w14:textId="77777777" w:rsidR="00EF4BEC" w:rsidRDefault="00EF4BEC">
            <w:pPr>
              <w:rPr>
                <w:rFonts w:cs="Arial"/>
                <w:sz w:val="16"/>
                <w:szCs w:val="16"/>
              </w:rPr>
            </w:pPr>
          </w:p>
        </w:tc>
        <w:tc>
          <w:tcPr>
            <w:tcW w:w="1559" w:type="dxa"/>
            <w:shd w:val="clear" w:color="auto" w:fill="auto"/>
          </w:tcPr>
          <w:p w14:paraId="332F2872" w14:textId="77777777" w:rsidR="00EF4BEC" w:rsidRDefault="00EF4BEC">
            <w:pPr>
              <w:rPr>
                <w:rFonts w:cs="Arial"/>
                <w:sz w:val="16"/>
                <w:szCs w:val="16"/>
              </w:rPr>
            </w:pPr>
          </w:p>
        </w:tc>
        <w:tc>
          <w:tcPr>
            <w:tcW w:w="1701" w:type="dxa"/>
            <w:shd w:val="clear" w:color="auto" w:fill="auto"/>
          </w:tcPr>
          <w:p w14:paraId="332F6AE4" w14:textId="77777777" w:rsidR="00EF4BEC" w:rsidRDefault="00EF4BEC">
            <w:pPr>
              <w:rPr>
                <w:rFonts w:cs="Arial"/>
                <w:sz w:val="16"/>
                <w:szCs w:val="16"/>
              </w:rPr>
            </w:pPr>
          </w:p>
        </w:tc>
        <w:tc>
          <w:tcPr>
            <w:tcW w:w="1701" w:type="dxa"/>
            <w:shd w:val="clear" w:color="auto" w:fill="auto"/>
          </w:tcPr>
          <w:p w14:paraId="3D247FA0" w14:textId="77777777" w:rsidR="00EF4BEC" w:rsidRDefault="00EF4BEC">
            <w:pPr>
              <w:rPr>
                <w:rFonts w:cs="Arial"/>
                <w:sz w:val="16"/>
                <w:szCs w:val="16"/>
              </w:rPr>
            </w:pPr>
          </w:p>
        </w:tc>
      </w:tr>
      <w:tr w:rsidR="00EF4BEC" w14:paraId="49B39915" w14:textId="77777777">
        <w:trPr>
          <w:cantSplit/>
        </w:trPr>
        <w:tc>
          <w:tcPr>
            <w:tcW w:w="1980" w:type="dxa"/>
            <w:shd w:val="clear" w:color="auto" w:fill="auto"/>
          </w:tcPr>
          <w:p w14:paraId="21A8A66A" w14:textId="77777777" w:rsidR="00EF4BEC" w:rsidRDefault="009E2ACD">
            <w:pPr>
              <w:rPr>
                <w:rFonts w:cs="Arial"/>
                <w:sz w:val="16"/>
                <w:szCs w:val="16"/>
              </w:rPr>
            </w:pPr>
            <w:r>
              <w:rPr>
                <w:rFonts w:cs="Arial"/>
                <w:sz w:val="16"/>
                <w:szCs w:val="16"/>
              </w:rPr>
              <w:t>Anti-P1PK1 (anti-P1)</w:t>
            </w:r>
          </w:p>
        </w:tc>
        <w:tc>
          <w:tcPr>
            <w:tcW w:w="1565" w:type="dxa"/>
            <w:shd w:val="clear" w:color="auto" w:fill="auto"/>
          </w:tcPr>
          <w:p w14:paraId="5E0501E1" w14:textId="77777777" w:rsidR="00EF4BEC" w:rsidRDefault="009E2ACD">
            <w:pPr>
              <w:rPr>
                <w:rFonts w:cs="Arial"/>
                <w:sz w:val="16"/>
                <w:szCs w:val="16"/>
              </w:rPr>
            </w:pPr>
            <w:r>
              <w:rPr>
                <w:rFonts w:cs="Arial"/>
                <w:sz w:val="16"/>
                <w:szCs w:val="16"/>
              </w:rPr>
              <w:t>T&amp;S</w:t>
            </w:r>
          </w:p>
        </w:tc>
        <w:tc>
          <w:tcPr>
            <w:tcW w:w="1559" w:type="dxa"/>
            <w:shd w:val="clear" w:color="auto" w:fill="auto"/>
          </w:tcPr>
          <w:p w14:paraId="0125F89F" w14:textId="77777777" w:rsidR="00EF4BEC" w:rsidRDefault="009E2ACD">
            <w:pPr>
              <w:rPr>
                <w:rFonts w:cs="Arial"/>
                <w:sz w:val="16"/>
                <w:szCs w:val="16"/>
              </w:rPr>
            </w:pPr>
            <w:r>
              <w:rPr>
                <w:rFonts w:cs="Arial"/>
                <w:sz w:val="16"/>
                <w:szCs w:val="16"/>
              </w:rPr>
              <w:t>T&amp;S</w:t>
            </w:r>
          </w:p>
        </w:tc>
        <w:tc>
          <w:tcPr>
            <w:tcW w:w="1559" w:type="dxa"/>
            <w:shd w:val="clear" w:color="auto" w:fill="auto"/>
          </w:tcPr>
          <w:p w14:paraId="28BFA41C" w14:textId="77777777" w:rsidR="00EF4BEC" w:rsidRDefault="009E2ACD">
            <w:pPr>
              <w:rPr>
                <w:rFonts w:cs="Arial"/>
                <w:sz w:val="16"/>
                <w:szCs w:val="16"/>
              </w:rPr>
            </w:pPr>
            <w:r>
              <w:rPr>
                <w:rFonts w:cs="Arial"/>
                <w:sz w:val="16"/>
                <w:szCs w:val="16"/>
              </w:rPr>
              <w:t>TC neg.</w:t>
            </w:r>
          </w:p>
        </w:tc>
        <w:tc>
          <w:tcPr>
            <w:tcW w:w="1701" w:type="dxa"/>
            <w:shd w:val="clear" w:color="auto" w:fill="auto"/>
          </w:tcPr>
          <w:p w14:paraId="5B07906D" w14:textId="77777777" w:rsidR="00EF4BEC" w:rsidRDefault="009E2ACD">
            <w:pPr>
              <w:rPr>
                <w:rFonts w:cs="Arial"/>
                <w:sz w:val="16"/>
                <w:szCs w:val="16"/>
              </w:rPr>
            </w:pPr>
            <w:r>
              <w:rPr>
                <w:rFonts w:cs="Arial"/>
                <w:sz w:val="16"/>
                <w:szCs w:val="16"/>
              </w:rPr>
              <w:t>T&amp;S</w:t>
            </w:r>
          </w:p>
        </w:tc>
        <w:tc>
          <w:tcPr>
            <w:tcW w:w="1701" w:type="dxa"/>
            <w:shd w:val="clear" w:color="auto" w:fill="auto"/>
          </w:tcPr>
          <w:p w14:paraId="4C3C8B2A" w14:textId="77777777" w:rsidR="00EF4BEC" w:rsidRDefault="009E2ACD">
            <w:pPr>
              <w:rPr>
                <w:rFonts w:cs="Arial"/>
                <w:sz w:val="16"/>
                <w:szCs w:val="16"/>
              </w:rPr>
            </w:pPr>
            <w:r>
              <w:rPr>
                <w:rFonts w:cs="Arial"/>
                <w:sz w:val="16"/>
                <w:szCs w:val="16"/>
              </w:rPr>
              <w:t>♀ &lt;50 anni</w:t>
            </w:r>
          </w:p>
        </w:tc>
      </w:tr>
      <w:tr w:rsidR="00EF4BEC" w14:paraId="4C1C5EF6" w14:textId="77777777">
        <w:trPr>
          <w:cantSplit/>
        </w:trPr>
        <w:tc>
          <w:tcPr>
            <w:tcW w:w="1980" w:type="dxa"/>
            <w:shd w:val="clear" w:color="auto" w:fill="auto"/>
          </w:tcPr>
          <w:p w14:paraId="0A0497C5" w14:textId="77777777" w:rsidR="00EF4BEC" w:rsidRDefault="009E2ACD">
            <w:pPr>
              <w:rPr>
                <w:rFonts w:cs="Arial"/>
                <w:b/>
                <w:sz w:val="16"/>
                <w:szCs w:val="16"/>
              </w:rPr>
            </w:pPr>
            <w:r>
              <w:rPr>
                <w:rFonts w:cs="Arial"/>
                <w:b/>
                <w:sz w:val="16"/>
                <w:szCs w:val="16"/>
              </w:rPr>
              <w:t>LU</w:t>
            </w:r>
          </w:p>
        </w:tc>
        <w:tc>
          <w:tcPr>
            <w:tcW w:w="1565" w:type="dxa"/>
            <w:shd w:val="clear" w:color="auto" w:fill="auto"/>
          </w:tcPr>
          <w:p w14:paraId="6D3F0B93" w14:textId="77777777" w:rsidR="00EF4BEC" w:rsidRDefault="00EF4BEC">
            <w:pPr>
              <w:rPr>
                <w:rFonts w:cs="Arial"/>
                <w:sz w:val="16"/>
                <w:szCs w:val="16"/>
              </w:rPr>
            </w:pPr>
          </w:p>
        </w:tc>
        <w:tc>
          <w:tcPr>
            <w:tcW w:w="1559" w:type="dxa"/>
            <w:shd w:val="clear" w:color="auto" w:fill="auto"/>
          </w:tcPr>
          <w:p w14:paraId="26ABEA49" w14:textId="77777777" w:rsidR="00EF4BEC" w:rsidRDefault="00EF4BEC">
            <w:pPr>
              <w:rPr>
                <w:rFonts w:cs="Arial"/>
                <w:sz w:val="16"/>
                <w:szCs w:val="16"/>
              </w:rPr>
            </w:pPr>
          </w:p>
        </w:tc>
        <w:tc>
          <w:tcPr>
            <w:tcW w:w="1559" w:type="dxa"/>
            <w:shd w:val="clear" w:color="auto" w:fill="auto"/>
          </w:tcPr>
          <w:p w14:paraId="2C47AAF1" w14:textId="77777777" w:rsidR="00EF4BEC" w:rsidRDefault="00EF4BEC">
            <w:pPr>
              <w:rPr>
                <w:rFonts w:cs="Arial"/>
                <w:sz w:val="16"/>
                <w:szCs w:val="16"/>
              </w:rPr>
            </w:pPr>
          </w:p>
        </w:tc>
        <w:tc>
          <w:tcPr>
            <w:tcW w:w="1701" w:type="dxa"/>
            <w:shd w:val="clear" w:color="auto" w:fill="auto"/>
          </w:tcPr>
          <w:p w14:paraId="5475B0C6" w14:textId="77777777" w:rsidR="00EF4BEC" w:rsidRDefault="00EF4BEC">
            <w:pPr>
              <w:rPr>
                <w:rFonts w:cs="Arial"/>
                <w:sz w:val="16"/>
                <w:szCs w:val="16"/>
              </w:rPr>
            </w:pPr>
          </w:p>
        </w:tc>
        <w:tc>
          <w:tcPr>
            <w:tcW w:w="1701" w:type="dxa"/>
            <w:shd w:val="clear" w:color="auto" w:fill="auto"/>
          </w:tcPr>
          <w:p w14:paraId="420B71DF" w14:textId="77777777" w:rsidR="00EF4BEC" w:rsidRDefault="00EF4BEC">
            <w:pPr>
              <w:rPr>
                <w:rFonts w:cs="Arial"/>
                <w:sz w:val="16"/>
                <w:szCs w:val="16"/>
              </w:rPr>
            </w:pPr>
          </w:p>
        </w:tc>
      </w:tr>
      <w:tr w:rsidR="00EF4BEC" w14:paraId="7C3C5FD4" w14:textId="77777777">
        <w:trPr>
          <w:cantSplit/>
        </w:trPr>
        <w:tc>
          <w:tcPr>
            <w:tcW w:w="1980" w:type="dxa"/>
            <w:shd w:val="clear" w:color="auto" w:fill="auto"/>
          </w:tcPr>
          <w:p w14:paraId="7773F33B" w14:textId="77777777" w:rsidR="00EF4BEC" w:rsidRDefault="009E2ACD">
            <w:pPr>
              <w:rPr>
                <w:rFonts w:cs="Arial"/>
                <w:sz w:val="16"/>
                <w:szCs w:val="16"/>
              </w:rPr>
            </w:pPr>
            <w:r>
              <w:rPr>
                <w:rFonts w:cs="Arial"/>
                <w:sz w:val="16"/>
                <w:szCs w:val="16"/>
              </w:rPr>
              <w:t>Anti-LU1 (anti-Lu</w:t>
            </w:r>
            <w:r>
              <w:rPr>
                <w:rFonts w:cs="Arial"/>
                <w:sz w:val="16"/>
                <w:szCs w:val="16"/>
                <w:vertAlign w:val="superscript"/>
              </w:rPr>
              <w:t>a</w:t>
            </w:r>
            <w:r>
              <w:rPr>
                <w:rFonts w:cs="Arial"/>
                <w:sz w:val="16"/>
                <w:szCs w:val="16"/>
              </w:rPr>
              <w:t>)</w:t>
            </w:r>
          </w:p>
        </w:tc>
        <w:tc>
          <w:tcPr>
            <w:tcW w:w="1565" w:type="dxa"/>
            <w:shd w:val="clear" w:color="auto" w:fill="auto"/>
          </w:tcPr>
          <w:p w14:paraId="364725E8" w14:textId="77777777" w:rsidR="00EF4BEC" w:rsidRDefault="009E2ACD">
            <w:pPr>
              <w:rPr>
                <w:rFonts w:cs="Arial"/>
                <w:sz w:val="16"/>
                <w:szCs w:val="16"/>
              </w:rPr>
            </w:pPr>
            <w:r>
              <w:rPr>
                <w:rFonts w:cs="Arial"/>
                <w:sz w:val="16"/>
                <w:szCs w:val="16"/>
              </w:rPr>
              <w:t>T&amp;S</w:t>
            </w:r>
          </w:p>
        </w:tc>
        <w:tc>
          <w:tcPr>
            <w:tcW w:w="1559" w:type="dxa"/>
            <w:shd w:val="clear" w:color="auto" w:fill="auto"/>
          </w:tcPr>
          <w:p w14:paraId="6285F857" w14:textId="77777777" w:rsidR="00EF4BEC" w:rsidRDefault="009E2ACD">
            <w:pPr>
              <w:rPr>
                <w:rFonts w:cs="Arial"/>
                <w:sz w:val="16"/>
                <w:szCs w:val="16"/>
              </w:rPr>
            </w:pPr>
            <w:r>
              <w:rPr>
                <w:rFonts w:cs="Arial"/>
                <w:sz w:val="16"/>
                <w:szCs w:val="16"/>
              </w:rPr>
              <w:t>NA</w:t>
            </w:r>
          </w:p>
        </w:tc>
        <w:tc>
          <w:tcPr>
            <w:tcW w:w="1559" w:type="dxa"/>
            <w:shd w:val="clear" w:color="auto" w:fill="auto"/>
          </w:tcPr>
          <w:p w14:paraId="48951140" w14:textId="77777777" w:rsidR="00EF4BEC" w:rsidRDefault="009E2ACD">
            <w:pPr>
              <w:rPr>
                <w:rFonts w:cs="Arial"/>
                <w:sz w:val="16"/>
                <w:szCs w:val="16"/>
              </w:rPr>
            </w:pPr>
            <w:r>
              <w:rPr>
                <w:rFonts w:cs="Arial"/>
                <w:sz w:val="16"/>
                <w:szCs w:val="16"/>
              </w:rPr>
              <w:t>TC neg.</w:t>
            </w:r>
          </w:p>
        </w:tc>
        <w:tc>
          <w:tcPr>
            <w:tcW w:w="1701" w:type="dxa"/>
            <w:shd w:val="clear" w:color="auto" w:fill="auto"/>
          </w:tcPr>
          <w:p w14:paraId="19C39074" w14:textId="77777777" w:rsidR="00EF4BEC" w:rsidRDefault="009E2ACD">
            <w:pPr>
              <w:rPr>
                <w:rFonts w:cs="Arial"/>
                <w:sz w:val="16"/>
                <w:szCs w:val="16"/>
              </w:rPr>
            </w:pPr>
            <w:r>
              <w:rPr>
                <w:rFonts w:cs="Arial"/>
                <w:sz w:val="16"/>
                <w:szCs w:val="16"/>
              </w:rPr>
              <w:t>T&amp;S</w:t>
            </w:r>
          </w:p>
        </w:tc>
        <w:tc>
          <w:tcPr>
            <w:tcW w:w="1701" w:type="dxa"/>
            <w:shd w:val="clear" w:color="auto" w:fill="auto"/>
          </w:tcPr>
          <w:p w14:paraId="7E898190" w14:textId="77777777" w:rsidR="00EF4BEC" w:rsidRDefault="009E2ACD">
            <w:pPr>
              <w:rPr>
                <w:rFonts w:cs="Arial"/>
                <w:sz w:val="16"/>
                <w:szCs w:val="16"/>
              </w:rPr>
            </w:pPr>
            <w:r>
              <w:rPr>
                <w:rFonts w:cs="Arial"/>
                <w:sz w:val="16"/>
                <w:szCs w:val="16"/>
              </w:rPr>
              <w:t>♀ &lt;50 anni</w:t>
            </w:r>
          </w:p>
        </w:tc>
      </w:tr>
      <w:tr w:rsidR="00EF4BEC" w14:paraId="28F4D272" w14:textId="77777777">
        <w:trPr>
          <w:cantSplit/>
        </w:trPr>
        <w:tc>
          <w:tcPr>
            <w:tcW w:w="1980" w:type="dxa"/>
            <w:shd w:val="clear" w:color="auto" w:fill="auto"/>
          </w:tcPr>
          <w:p w14:paraId="33354539" w14:textId="77777777" w:rsidR="00EF4BEC" w:rsidRDefault="009E2ACD">
            <w:pPr>
              <w:rPr>
                <w:rFonts w:cs="Arial"/>
                <w:sz w:val="16"/>
                <w:szCs w:val="16"/>
              </w:rPr>
            </w:pPr>
            <w:r>
              <w:rPr>
                <w:rFonts w:cs="Arial"/>
                <w:sz w:val="16"/>
                <w:szCs w:val="16"/>
              </w:rPr>
              <w:t>Anti-LU2 (anti-Lu</w:t>
            </w:r>
            <w:r>
              <w:rPr>
                <w:rFonts w:cs="Arial"/>
                <w:sz w:val="16"/>
                <w:szCs w:val="16"/>
                <w:vertAlign w:val="superscript"/>
              </w:rPr>
              <w:t>b</w:t>
            </w:r>
            <w:r>
              <w:rPr>
                <w:rFonts w:cs="Arial"/>
                <w:sz w:val="16"/>
                <w:szCs w:val="16"/>
              </w:rPr>
              <w:t>)</w:t>
            </w:r>
          </w:p>
        </w:tc>
        <w:tc>
          <w:tcPr>
            <w:tcW w:w="1565" w:type="dxa"/>
            <w:shd w:val="clear" w:color="auto" w:fill="auto"/>
          </w:tcPr>
          <w:p w14:paraId="1DAD6344"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1FC5ED17" w14:textId="77777777" w:rsidR="00EF4BEC" w:rsidRDefault="009E2ACD">
            <w:pPr>
              <w:rPr>
                <w:rFonts w:cs="Arial"/>
                <w:sz w:val="16"/>
                <w:szCs w:val="16"/>
              </w:rPr>
            </w:pPr>
            <w:r>
              <w:rPr>
                <w:rFonts w:cs="Arial"/>
                <w:sz w:val="16"/>
                <w:szCs w:val="16"/>
              </w:rPr>
              <w:t>NA</w:t>
            </w:r>
          </w:p>
        </w:tc>
        <w:tc>
          <w:tcPr>
            <w:tcW w:w="1559" w:type="dxa"/>
            <w:shd w:val="clear" w:color="auto" w:fill="auto"/>
          </w:tcPr>
          <w:p w14:paraId="0725467A"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3C0D75DC"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6B6F53F5" w14:textId="77777777" w:rsidR="00EF4BEC" w:rsidRDefault="009E2ACD">
            <w:pPr>
              <w:rPr>
                <w:rFonts w:cs="Arial"/>
                <w:sz w:val="16"/>
                <w:szCs w:val="16"/>
              </w:rPr>
            </w:pPr>
            <w:r>
              <w:rPr>
                <w:rFonts w:cs="Arial"/>
                <w:sz w:val="16"/>
                <w:szCs w:val="16"/>
              </w:rPr>
              <w:t>Sì</w:t>
            </w:r>
          </w:p>
        </w:tc>
      </w:tr>
      <w:tr w:rsidR="00EF4BEC" w14:paraId="4EF18656" w14:textId="77777777">
        <w:trPr>
          <w:cantSplit/>
        </w:trPr>
        <w:tc>
          <w:tcPr>
            <w:tcW w:w="1980" w:type="dxa"/>
            <w:shd w:val="clear" w:color="auto" w:fill="auto"/>
          </w:tcPr>
          <w:p w14:paraId="533A1D61" w14:textId="77777777" w:rsidR="00EF4BEC" w:rsidRDefault="009E2ACD">
            <w:pPr>
              <w:rPr>
                <w:rFonts w:cs="Arial"/>
                <w:b/>
                <w:sz w:val="16"/>
                <w:szCs w:val="16"/>
              </w:rPr>
            </w:pPr>
            <w:r>
              <w:rPr>
                <w:rFonts w:cs="Arial"/>
                <w:b/>
                <w:sz w:val="16"/>
                <w:szCs w:val="16"/>
              </w:rPr>
              <w:t>DI</w:t>
            </w:r>
          </w:p>
        </w:tc>
        <w:tc>
          <w:tcPr>
            <w:tcW w:w="1565" w:type="dxa"/>
            <w:shd w:val="clear" w:color="auto" w:fill="auto"/>
          </w:tcPr>
          <w:p w14:paraId="7785F464" w14:textId="77777777" w:rsidR="00EF4BEC" w:rsidRDefault="00EF4BEC">
            <w:pPr>
              <w:rPr>
                <w:rFonts w:cs="Arial"/>
                <w:sz w:val="16"/>
                <w:szCs w:val="16"/>
              </w:rPr>
            </w:pPr>
          </w:p>
        </w:tc>
        <w:tc>
          <w:tcPr>
            <w:tcW w:w="1559" w:type="dxa"/>
            <w:shd w:val="clear" w:color="auto" w:fill="auto"/>
          </w:tcPr>
          <w:p w14:paraId="68FD9E95" w14:textId="77777777" w:rsidR="00EF4BEC" w:rsidRDefault="00EF4BEC">
            <w:pPr>
              <w:rPr>
                <w:rFonts w:cs="Arial"/>
                <w:sz w:val="16"/>
                <w:szCs w:val="16"/>
              </w:rPr>
            </w:pPr>
          </w:p>
        </w:tc>
        <w:tc>
          <w:tcPr>
            <w:tcW w:w="1559" w:type="dxa"/>
            <w:shd w:val="clear" w:color="auto" w:fill="auto"/>
          </w:tcPr>
          <w:p w14:paraId="64B99683" w14:textId="77777777" w:rsidR="00EF4BEC" w:rsidRDefault="00EF4BEC">
            <w:pPr>
              <w:rPr>
                <w:rFonts w:cs="Arial"/>
                <w:sz w:val="16"/>
                <w:szCs w:val="16"/>
              </w:rPr>
            </w:pPr>
          </w:p>
        </w:tc>
        <w:tc>
          <w:tcPr>
            <w:tcW w:w="1701" w:type="dxa"/>
            <w:shd w:val="clear" w:color="auto" w:fill="auto"/>
          </w:tcPr>
          <w:p w14:paraId="3ED01E5E" w14:textId="77777777" w:rsidR="00EF4BEC" w:rsidRDefault="00EF4BEC">
            <w:pPr>
              <w:rPr>
                <w:rFonts w:cs="Arial"/>
                <w:sz w:val="16"/>
                <w:szCs w:val="16"/>
              </w:rPr>
            </w:pPr>
          </w:p>
        </w:tc>
        <w:tc>
          <w:tcPr>
            <w:tcW w:w="1701" w:type="dxa"/>
            <w:shd w:val="clear" w:color="auto" w:fill="auto"/>
          </w:tcPr>
          <w:p w14:paraId="5129E2E0" w14:textId="77777777" w:rsidR="00EF4BEC" w:rsidRDefault="00EF4BEC">
            <w:pPr>
              <w:rPr>
                <w:rFonts w:cs="Arial"/>
                <w:sz w:val="16"/>
                <w:szCs w:val="16"/>
              </w:rPr>
            </w:pPr>
          </w:p>
        </w:tc>
      </w:tr>
      <w:tr w:rsidR="00EF4BEC" w14:paraId="2C4735C4" w14:textId="77777777">
        <w:trPr>
          <w:cantSplit/>
        </w:trPr>
        <w:tc>
          <w:tcPr>
            <w:tcW w:w="1980" w:type="dxa"/>
            <w:shd w:val="clear" w:color="auto" w:fill="auto"/>
          </w:tcPr>
          <w:p w14:paraId="22BB7EB7" w14:textId="77777777" w:rsidR="00EF4BEC" w:rsidRDefault="009E2ACD">
            <w:pPr>
              <w:rPr>
                <w:rFonts w:cs="Arial"/>
                <w:sz w:val="16"/>
                <w:szCs w:val="16"/>
              </w:rPr>
            </w:pPr>
            <w:r>
              <w:rPr>
                <w:rFonts w:cs="Arial"/>
                <w:sz w:val="16"/>
                <w:szCs w:val="16"/>
              </w:rPr>
              <w:t>Anti-DI3 (anti-Wr</w:t>
            </w:r>
            <w:r>
              <w:rPr>
                <w:rFonts w:cs="Arial"/>
                <w:sz w:val="16"/>
                <w:szCs w:val="16"/>
                <w:vertAlign w:val="superscript"/>
              </w:rPr>
              <w:t>a</w:t>
            </w:r>
            <w:r>
              <w:rPr>
                <w:rFonts w:cs="Arial"/>
                <w:sz w:val="16"/>
                <w:szCs w:val="16"/>
              </w:rPr>
              <w:t>)</w:t>
            </w:r>
          </w:p>
        </w:tc>
        <w:tc>
          <w:tcPr>
            <w:tcW w:w="1565" w:type="dxa"/>
            <w:shd w:val="clear" w:color="auto" w:fill="auto"/>
          </w:tcPr>
          <w:p w14:paraId="0DF8F46C" w14:textId="77777777" w:rsidR="00EF4BEC" w:rsidRDefault="009E2ACD">
            <w:pPr>
              <w:rPr>
                <w:rFonts w:cs="Arial"/>
                <w:sz w:val="16"/>
                <w:szCs w:val="16"/>
              </w:rPr>
            </w:pPr>
            <w:r>
              <w:rPr>
                <w:rFonts w:cs="Arial"/>
                <w:sz w:val="16"/>
                <w:szCs w:val="16"/>
              </w:rPr>
              <w:t>T&amp;S</w:t>
            </w:r>
          </w:p>
        </w:tc>
        <w:tc>
          <w:tcPr>
            <w:tcW w:w="1559" w:type="dxa"/>
            <w:shd w:val="clear" w:color="auto" w:fill="auto"/>
          </w:tcPr>
          <w:p w14:paraId="22C580B8" w14:textId="77777777" w:rsidR="00EF4BEC" w:rsidRDefault="009E2ACD">
            <w:pPr>
              <w:rPr>
                <w:rFonts w:cs="Arial"/>
                <w:sz w:val="16"/>
                <w:szCs w:val="16"/>
              </w:rPr>
            </w:pPr>
            <w:r>
              <w:rPr>
                <w:rFonts w:cs="Arial"/>
                <w:sz w:val="16"/>
                <w:szCs w:val="16"/>
              </w:rPr>
              <w:t>T&amp;S</w:t>
            </w:r>
          </w:p>
        </w:tc>
        <w:tc>
          <w:tcPr>
            <w:tcW w:w="1559" w:type="dxa"/>
            <w:shd w:val="clear" w:color="auto" w:fill="auto"/>
          </w:tcPr>
          <w:p w14:paraId="0DE7D023" w14:textId="77777777" w:rsidR="00EF4BEC" w:rsidRDefault="009E2ACD">
            <w:pPr>
              <w:rPr>
                <w:rFonts w:cs="Arial"/>
                <w:sz w:val="16"/>
                <w:szCs w:val="16"/>
              </w:rPr>
            </w:pPr>
            <w:r>
              <w:rPr>
                <w:rFonts w:cs="Arial"/>
                <w:sz w:val="16"/>
                <w:szCs w:val="16"/>
              </w:rPr>
              <w:t>Ag neg. TC neg. / T&amp;S</w:t>
            </w:r>
          </w:p>
        </w:tc>
        <w:tc>
          <w:tcPr>
            <w:tcW w:w="1701" w:type="dxa"/>
            <w:shd w:val="clear" w:color="auto" w:fill="auto"/>
          </w:tcPr>
          <w:p w14:paraId="11289886" w14:textId="77777777" w:rsidR="00EF4BEC" w:rsidRDefault="009E2ACD">
            <w:pPr>
              <w:rPr>
                <w:rFonts w:cs="Arial"/>
                <w:sz w:val="16"/>
                <w:szCs w:val="16"/>
              </w:rPr>
            </w:pPr>
            <w:r>
              <w:rPr>
                <w:rFonts w:cs="Arial"/>
                <w:sz w:val="16"/>
                <w:szCs w:val="16"/>
              </w:rPr>
              <w:t>T&amp;S</w:t>
            </w:r>
          </w:p>
        </w:tc>
        <w:tc>
          <w:tcPr>
            <w:tcW w:w="1701" w:type="dxa"/>
            <w:shd w:val="clear" w:color="auto" w:fill="auto"/>
          </w:tcPr>
          <w:p w14:paraId="5D6FFCEF" w14:textId="77777777" w:rsidR="00EF4BEC" w:rsidRDefault="009E2ACD">
            <w:pPr>
              <w:rPr>
                <w:rFonts w:cs="Arial"/>
                <w:sz w:val="16"/>
                <w:szCs w:val="16"/>
              </w:rPr>
            </w:pPr>
            <w:r>
              <w:rPr>
                <w:rFonts w:cs="Arial"/>
                <w:sz w:val="16"/>
                <w:szCs w:val="16"/>
              </w:rPr>
              <w:t>♀ &lt;50 anni</w:t>
            </w:r>
          </w:p>
        </w:tc>
      </w:tr>
      <w:tr w:rsidR="00EF4BEC" w14:paraId="7FEA0445" w14:textId="77777777">
        <w:trPr>
          <w:cantSplit/>
        </w:trPr>
        <w:tc>
          <w:tcPr>
            <w:tcW w:w="1980" w:type="dxa"/>
            <w:shd w:val="clear" w:color="auto" w:fill="auto"/>
          </w:tcPr>
          <w:p w14:paraId="42E66AFB" w14:textId="77777777" w:rsidR="00EF4BEC" w:rsidRDefault="009E2ACD">
            <w:pPr>
              <w:rPr>
                <w:rFonts w:cs="Arial"/>
                <w:b/>
                <w:sz w:val="16"/>
                <w:szCs w:val="16"/>
              </w:rPr>
            </w:pPr>
            <w:r>
              <w:rPr>
                <w:rFonts w:cs="Arial"/>
                <w:b/>
                <w:sz w:val="16"/>
                <w:szCs w:val="16"/>
              </w:rPr>
              <w:t>CO</w:t>
            </w:r>
          </w:p>
        </w:tc>
        <w:tc>
          <w:tcPr>
            <w:tcW w:w="1565" w:type="dxa"/>
            <w:shd w:val="clear" w:color="auto" w:fill="auto"/>
          </w:tcPr>
          <w:p w14:paraId="1CA303AA" w14:textId="77777777" w:rsidR="00EF4BEC" w:rsidRDefault="00EF4BEC">
            <w:pPr>
              <w:rPr>
                <w:rFonts w:cs="Arial"/>
                <w:sz w:val="16"/>
                <w:szCs w:val="16"/>
              </w:rPr>
            </w:pPr>
          </w:p>
        </w:tc>
        <w:tc>
          <w:tcPr>
            <w:tcW w:w="1559" w:type="dxa"/>
            <w:shd w:val="clear" w:color="auto" w:fill="auto"/>
          </w:tcPr>
          <w:p w14:paraId="34D05A7D" w14:textId="77777777" w:rsidR="00EF4BEC" w:rsidRDefault="00EF4BEC">
            <w:pPr>
              <w:rPr>
                <w:rFonts w:cs="Arial"/>
                <w:sz w:val="16"/>
                <w:szCs w:val="16"/>
              </w:rPr>
            </w:pPr>
          </w:p>
        </w:tc>
        <w:tc>
          <w:tcPr>
            <w:tcW w:w="1559" w:type="dxa"/>
            <w:shd w:val="clear" w:color="auto" w:fill="auto"/>
          </w:tcPr>
          <w:p w14:paraId="382C3D0F" w14:textId="77777777" w:rsidR="00EF4BEC" w:rsidRDefault="00EF4BEC">
            <w:pPr>
              <w:rPr>
                <w:rFonts w:cs="Arial"/>
                <w:sz w:val="16"/>
                <w:szCs w:val="16"/>
              </w:rPr>
            </w:pPr>
          </w:p>
        </w:tc>
        <w:tc>
          <w:tcPr>
            <w:tcW w:w="1701" w:type="dxa"/>
            <w:shd w:val="clear" w:color="auto" w:fill="auto"/>
          </w:tcPr>
          <w:p w14:paraId="142F4583" w14:textId="77777777" w:rsidR="00EF4BEC" w:rsidRDefault="00EF4BEC">
            <w:pPr>
              <w:rPr>
                <w:rFonts w:cs="Arial"/>
                <w:sz w:val="16"/>
                <w:szCs w:val="16"/>
              </w:rPr>
            </w:pPr>
          </w:p>
        </w:tc>
        <w:tc>
          <w:tcPr>
            <w:tcW w:w="1701" w:type="dxa"/>
            <w:shd w:val="clear" w:color="auto" w:fill="auto"/>
          </w:tcPr>
          <w:p w14:paraId="748A7CFE" w14:textId="77777777" w:rsidR="00EF4BEC" w:rsidRDefault="00EF4BEC">
            <w:pPr>
              <w:rPr>
                <w:rFonts w:cs="Arial"/>
                <w:sz w:val="16"/>
                <w:szCs w:val="16"/>
              </w:rPr>
            </w:pPr>
          </w:p>
        </w:tc>
      </w:tr>
      <w:tr w:rsidR="00EF4BEC" w14:paraId="718D3E28" w14:textId="77777777">
        <w:trPr>
          <w:cantSplit/>
        </w:trPr>
        <w:tc>
          <w:tcPr>
            <w:tcW w:w="1980" w:type="dxa"/>
            <w:shd w:val="clear" w:color="auto" w:fill="auto"/>
          </w:tcPr>
          <w:p w14:paraId="4FB2CFC4" w14:textId="77777777" w:rsidR="00EF4BEC" w:rsidRDefault="009E2ACD">
            <w:pPr>
              <w:rPr>
                <w:rFonts w:cs="Arial"/>
                <w:sz w:val="16"/>
                <w:szCs w:val="16"/>
              </w:rPr>
            </w:pPr>
            <w:r>
              <w:rPr>
                <w:rFonts w:cs="Arial"/>
                <w:sz w:val="16"/>
                <w:szCs w:val="16"/>
              </w:rPr>
              <w:t>Anti-CO1 (anti-Co</w:t>
            </w:r>
            <w:r>
              <w:rPr>
                <w:rFonts w:cs="Arial"/>
                <w:sz w:val="16"/>
                <w:szCs w:val="16"/>
                <w:vertAlign w:val="superscript"/>
              </w:rPr>
              <w:t>a</w:t>
            </w:r>
            <w:r>
              <w:rPr>
                <w:rFonts w:cs="Arial"/>
                <w:sz w:val="16"/>
                <w:szCs w:val="16"/>
              </w:rPr>
              <w:t>)</w:t>
            </w:r>
          </w:p>
        </w:tc>
        <w:tc>
          <w:tcPr>
            <w:tcW w:w="1565" w:type="dxa"/>
            <w:shd w:val="clear" w:color="auto" w:fill="auto"/>
          </w:tcPr>
          <w:p w14:paraId="19D9600E"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4346C85C" w14:textId="77777777" w:rsidR="00EF4BEC" w:rsidRDefault="009E2ACD">
            <w:pPr>
              <w:rPr>
                <w:rFonts w:cs="Arial"/>
                <w:sz w:val="16"/>
                <w:szCs w:val="16"/>
              </w:rPr>
            </w:pPr>
            <w:r>
              <w:rPr>
                <w:rFonts w:cs="Arial"/>
                <w:sz w:val="16"/>
                <w:szCs w:val="16"/>
              </w:rPr>
              <w:t>Ag neg. e TC neg.</w:t>
            </w:r>
          </w:p>
        </w:tc>
        <w:tc>
          <w:tcPr>
            <w:tcW w:w="1559" w:type="dxa"/>
            <w:shd w:val="clear" w:color="auto" w:fill="auto"/>
          </w:tcPr>
          <w:p w14:paraId="0D815202"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3533CF60"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1FA755A4" w14:textId="77777777" w:rsidR="00EF4BEC" w:rsidRDefault="009E2ACD">
            <w:pPr>
              <w:rPr>
                <w:rFonts w:cs="Arial"/>
                <w:sz w:val="16"/>
                <w:szCs w:val="16"/>
              </w:rPr>
            </w:pPr>
            <w:r>
              <w:rPr>
                <w:rFonts w:cs="Arial"/>
                <w:sz w:val="16"/>
                <w:szCs w:val="16"/>
              </w:rPr>
              <w:t>Sì</w:t>
            </w:r>
          </w:p>
        </w:tc>
      </w:tr>
      <w:tr w:rsidR="00EF4BEC" w14:paraId="46574FC7" w14:textId="77777777">
        <w:trPr>
          <w:cantSplit/>
        </w:trPr>
        <w:tc>
          <w:tcPr>
            <w:tcW w:w="1980" w:type="dxa"/>
            <w:shd w:val="clear" w:color="auto" w:fill="auto"/>
          </w:tcPr>
          <w:p w14:paraId="52966C9B" w14:textId="77777777" w:rsidR="00EF4BEC" w:rsidRDefault="009E2ACD">
            <w:pPr>
              <w:rPr>
                <w:rFonts w:cs="Arial"/>
                <w:sz w:val="16"/>
                <w:szCs w:val="16"/>
              </w:rPr>
            </w:pPr>
            <w:r>
              <w:rPr>
                <w:rFonts w:cs="Arial"/>
                <w:sz w:val="16"/>
                <w:szCs w:val="16"/>
              </w:rPr>
              <w:t>Anti-CO2 (anti-Co</w:t>
            </w:r>
            <w:r>
              <w:rPr>
                <w:rFonts w:cs="Arial"/>
                <w:sz w:val="16"/>
                <w:szCs w:val="16"/>
                <w:vertAlign w:val="superscript"/>
              </w:rPr>
              <w:t>b</w:t>
            </w:r>
            <w:r>
              <w:rPr>
                <w:rFonts w:cs="Arial"/>
                <w:sz w:val="16"/>
                <w:szCs w:val="16"/>
              </w:rPr>
              <w:t>)</w:t>
            </w:r>
          </w:p>
        </w:tc>
        <w:tc>
          <w:tcPr>
            <w:tcW w:w="1565" w:type="dxa"/>
            <w:shd w:val="clear" w:color="auto" w:fill="auto"/>
          </w:tcPr>
          <w:p w14:paraId="6FD15BAF" w14:textId="7DA881A4" w:rsidR="00EF4BEC" w:rsidRDefault="009E2ACD">
            <w:pPr>
              <w:rPr>
                <w:rFonts w:cs="Arial"/>
                <w:sz w:val="16"/>
                <w:szCs w:val="16"/>
              </w:rPr>
            </w:pPr>
            <w:r>
              <w:rPr>
                <w:rFonts w:cs="Arial"/>
                <w:sz w:val="16"/>
                <w:szCs w:val="16"/>
              </w:rPr>
              <w:t>TC neg.</w:t>
            </w:r>
          </w:p>
        </w:tc>
        <w:tc>
          <w:tcPr>
            <w:tcW w:w="1559" w:type="dxa"/>
            <w:shd w:val="clear" w:color="auto" w:fill="auto"/>
          </w:tcPr>
          <w:p w14:paraId="4DB73F8F" w14:textId="44826BE9" w:rsidR="00EF4BEC" w:rsidRDefault="009E2ACD">
            <w:pPr>
              <w:rPr>
                <w:rFonts w:cs="Arial"/>
                <w:sz w:val="16"/>
                <w:szCs w:val="16"/>
              </w:rPr>
            </w:pPr>
            <w:r>
              <w:rPr>
                <w:rFonts w:cs="Arial"/>
                <w:sz w:val="16"/>
                <w:szCs w:val="16"/>
              </w:rPr>
              <w:t>TC neg.</w:t>
            </w:r>
          </w:p>
        </w:tc>
        <w:tc>
          <w:tcPr>
            <w:tcW w:w="1559" w:type="dxa"/>
            <w:shd w:val="clear" w:color="auto" w:fill="auto"/>
          </w:tcPr>
          <w:p w14:paraId="0A0E3BE0" w14:textId="5305C731" w:rsidR="00EF4BEC" w:rsidRDefault="009E2ACD">
            <w:pPr>
              <w:rPr>
                <w:rFonts w:cs="Arial"/>
                <w:sz w:val="16"/>
                <w:szCs w:val="16"/>
              </w:rPr>
            </w:pPr>
            <w:r>
              <w:rPr>
                <w:rFonts w:cs="Arial"/>
                <w:sz w:val="16"/>
                <w:szCs w:val="16"/>
              </w:rPr>
              <w:t>TC neg.</w:t>
            </w:r>
          </w:p>
        </w:tc>
        <w:tc>
          <w:tcPr>
            <w:tcW w:w="1701" w:type="dxa"/>
            <w:shd w:val="clear" w:color="auto" w:fill="auto"/>
          </w:tcPr>
          <w:p w14:paraId="5F1BBB91" w14:textId="5A72A2E2" w:rsidR="00EF4BEC" w:rsidRDefault="009E2ACD">
            <w:pPr>
              <w:rPr>
                <w:rFonts w:cs="Arial"/>
                <w:sz w:val="16"/>
                <w:szCs w:val="16"/>
              </w:rPr>
            </w:pPr>
            <w:r>
              <w:rPr>
                <w:rFonts w:cs="Arial"/>
                <w:sz w:val="16"/>
                <w:szCs w:val="16"/>
              </w:rPr>
              <w:t>TC neg</w:t>
            </w:r>
          </w:p>
        </w:tc>
        <w:tc>
          <w:tcPr>
            <w:tcW w:w="1701" w:type="dxa"/>
            <w:shd w:val="clear" w:color="auto" w:fill="auto"/>
          </w:tcPr>
          <w:p w14:paraId="45F7968C" w14:textId="77777777" w:rsidR="00EF4BEC" w:rsidRDefault="009E2ACD">
            <w:pPr>
              <w:rPr>
                <w:rFonts w:cs="Arial"/>
                <w:sz w:val="16"/>
                <w:szCs w:val="16"/>
              </w:rPr>
            </w:pPr>
            <w:r>
              <w:rPr>
                <w:rFonts w:cs="Arial"/>
                <w:sz w:val="16"/>
                <w:szCs w:val="16"/>
              </w:rPr>
              <w:t>Sì</w:t>
            </w:r>
          </w:p>
        </w:tc>
      </w:tr>
      <w:tr w:rsidR="00EF4BEC" w14:paraId="184E952F" w14:textId="77777777">
        <w:trPr>
          <w:cantSplit/>
        </w:trPr>
        <w:tc>
          <w:tcPr>
            <w:tcW w:w="1980" w:type="dxa"/>
            <w:shd w:val="clear" w:color="auto" w:fill="auto"/>
          </w:tcPr>
          <w:p w14:paraId="1E9C53BF" w14:textId="77777777" w:rsidR="00EF4BEC" w:rsidRDefault="009E2ACD">
            <w:pPr>
              <w:rPr>
                <w:rFonts w:cs="Arial"/>
                <w:b/>
                <w:sz w:val="16"/>
                <w:szCs w:val="16"/>
              </w:rPr>
            </w:pPr>
            <w:r>
              <w:rPr>
                <w:rFonts w:cs="Arial"/>
                <w:b/>
                <w:sz w:val="16"/>
                <w:szCs w:val="16"/>
              </w:rPr>
              <w:t>YT</w:t>
            </w:r>
          </w:p>
        </w:tc>
        <w:tc>
          <w:tcPr>
            <w:tcW w:w="1565" w:type="dxa"/>
            <w:shd w:val="clear" w:color="auto" w:fill="auto"/>
          </w:tcPr>
          <w:p w14:paraId="6E4580AE" w14:textId="77777777" w:rsidR="00EF4BEC" w:rsidRDefault="00EF4BEC">
            <w:pPr>
              <w:rPr>
                <w:rFonts w:cs="Arial"/>
                <w:sz w:val="16"/>
                <w:szCs w:val="16"/>
              </w:rPr>
            </w:pPr>
          </w:p>
        </w:tc>
        <w:tc>
          <w:tcPr>
            <w:tcW w:w="1559" w:type="dxa"/>
            <w:shd w:val="clear" w:color="auto" w:fill="auto"/>
          </w:tcPr>
          <w:p w14:paraId="7B66792F" w14:textId="77777777" w:rsidR="00EF4BEC" w:rsidRDefault="00EF4BEC">
            <w:pPr>
              <w:rPr>
                <w:rFonts w:cs="Arial"/>
                <w:sz w:val="16"/>
                <w:szCs w:val="16"/>
              </w:rPr>
            </w:pPr>
          </w:p>
        </w:tc>
        <w:tc>
          <w:tcPr>
            <w:tcW w:w="1559" w:type="dxa"/>
            <w:shd w:val="clear" w:color="auto" w:fill="auto"/>
          </w:tcPr>
          <w:p w14:paraId="25440885" w14:textId="77777777" w:rsidR="00EF4BEC" w:rsidRDefault="00EF4BEC">
            <w:pPr>
              <w:rPr>
                <w:rFonts w:cs="Arial"/>
                <w:sz w:val="16"/>
                <w:szCs w:val="16"/>
              </w:rPr>
            </w:pPr>
          </w:p>
        </w:tc>
        <w:tc>
          <w:tcPr>
            <w:tcW w:w="1701" w:type="dxa"/>
            <w:shd w:val="clear" w:color="auto" w:fill="auto"/>
          </w:tcPr>
          <w:p w14:paraId="3E07A750" w14:textId="77777777" w:rsidR="00EF4BEC" w:rsidRDefault="00EF4BEC">
            <w:pPr>
              <w:rPr>
                <w:rFonts w:cs="Arial"/>
                <w:sz w:val="16"/>
                <w:szCs w:val="16"/>
              </w:rPr>
            </w:pPr>
          </w:p>
        </w:tc>
        <w:tc>
          <w:tcPr>
            <w:tcW w:w="1701" w:type="dxa"/>
            <w:shd w:val="clear" w:color="auto" w:fill="auto"/>
          </w:tcPr>
          <w:p w14:paraId="46AA8F77" w14:textId="77777777" w:rsidR="00EF4BEC" w:rsidRDefault="00EF4BEC">
            <w:pPr>
              <w:rPr>
                <w:rFonts w:cs="Arial"/>
                <w:sz w:val="16"/>
                <w:szCs w:val="16"/>
              </w:rPr>
            </w:pPr>
          </w:p>
        </w:tc>
      </w:tr>
      <w:tr w:rsidR="00EF4BEC" w14:paraId="07254201" w14:textId="77777777">
        <w:trPr>
          <w:cantSplit/>
        </w:trPr>
        <w:tc>
          <w:tcPr>
            <w:tcW w:w="1980" w:type="dxa"/>
            <w:shd w:val="clear" w:color="auto" w:fill="auto"/>
          </w:tcPr>
          <w:p w14:paraId="19BDF475" w14:textId="77777777" w:rsidR="00EF4BEC" w:rsidRDefault="009E2ACD">
            <w:pPr>
              <w:rPr>
                <w:rFonts w:cs="Arial"/>
                <w:sz w:val="16"/>
                <w:szCs w:val="16"/>
              </w:rPr>
            </w:pPr>
            <w:r>
              <w:rPr>
                <w:rFonts w:cs="Arial"/>
                <w:sz w:val="16"/>
                <w:szCs w:val="16"/>
              </w:rPr>
              <w:t>Anti-YT1 (anti-Yt</w:t>
            </w:r>
            <w:r>
              <w:rPr>
                <w:rFonts w:cs="Arial"/>
                <w:sz w:val="16"/>
                <w:szCs w:val="16"/>
                <w:vertAlign w:val="superscript"/>
              </w:rPr>
              <w:t>a</w:t>
            </w:r>
            <w:r>
              <w:rPr>
                <w:rFonts w:cs="Arial"/>
                <w:sz w:val="16"/>
                <w:szCs w:val="16"/>
              </w:rPr>
              <w:t>)</w:t>
            </w:r>
          </w:p>
        </w:tc>
        <w:tc>
          <w:tcPr>
            <w:tcW w:w="1565" w:type="dxa"/>
            <w:shd w:val="clear" w:color="auto" w:fill="auto"/>
          </w:tcPr>
          <w:p w14:paraId="2757F1D0" w14:textId="77777777" w:rsidR="00EF4BEC" w:rsidRDefault="009E2ACD">
            <w:pPr>
              <w:rPr>
                <w:rFonts w:cs="Arial"/>
                <w:sz w:val="16"/>
                <w:szCs w:val="16"/>
              </w:rPr>
            </w:pPr>
            <w:r>
              <w:rPr>
                <w:rFonts w:cs="Arial"/>
                <w:sz w:val="16"/>
                <w:szCs w:val="16"/>
              </w:rPr>
              <w:t>T&amp;S</w:t>
            </w:r>
          </w:p>
        </w:tc>
        <w:tc>
          <w:tcPr>
            <w:tcW w:w="1559" w:type="dxa"/>
            <w:shd w:val="clear" w:color="auto" w:fill="auto"/>
          </w:tcPr>
          <w:p w14:paraId="73E49313" w14:textId="77777777" w:rsidR="00EF4BEC" w:rsidRDefault="009E2ACD">
            <w:pPr>
              <w:rPr>
                <w:rFonts w:cs="Arial"/>
                <w:sz w:val="16"/>
                <w:szCs w:val="16"/>
              </w:rPr>
            </w:pPr>
            <w:r>
              <w:rPr>
                <w:rFonts w:cs="Arial"/>
                <w:sz w:val="16"/>
                <w:szCs w:val="16"/>
              </w:rPr>
              <w:t>NA</w:t>
            </w:r>
          </w:p>
        </w:tc>
        <w:tc>
          <w:tcPr>
            <w:tcW w:w="1559" w:type="dxa"/>
            <w:shd w:val="clear" w:color="auto" w:fill="auto"/>
          </w:tcPr>
          <w:p w14:paraId="22EB29EE"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32B443D6"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489B414F" w14:textId="77777777" w:rsidR="00EF4BEC" w:rsidRDefault="009E2ACD">
            <w:pPr>
              <w:rPr>
                <w:rFonts w:cs="Arial"/>
                <w:sz w:val="16"/>
                <w:szCs w:val="16"/>
              </w:rPr>
            </w:pPr>
            <w:r>
              <w:rPr>
                <w:rFonts w:cs="Arial"/>
                <w:sz w:val="16"/>
                <w:szCs w:val="16"/>
              </w:rPr>
              <w:t>Sì</w:t>
            </w:r>
          </w:p>
        </w:tc>
      </w:tr>
      <w:tr w:rsidR="00EF4BEC" w14:paraId="2DF191DE" w14:textId="77777777">
        <w:trPr>
          <w:cantSplit/>
        </w:trPr>
        <w:tc>
          <w:tcPr>
            <w:tcW w:w="1980" w:type="dxa"/>
            <w:shd w:val="clear" w:color="auto" w:fill="auto"/>
          </w:tcPr>
          <w:p w14:paraId="3B61CCB9" w14:textId="77777777" w:rsidR="00EF4BEC" w:rsidRDefault="009E2ACD">
            <w:pPr>
              <w:rPr>
                <w:rFonts w:cs="Arial"/>
                <w:sz w:val="16"/>
                <w:szCs w:val="16"/>
              </w:rPr>
            </w:pPr>
            <w:r>
              <w:rPr>
                <w:rFonts w:cs="Arial"/>
                <w:sz w:val="16"/>
                <w:szCs w:val="16"/>
              </w:rPr>
              <w:t>Anti-YT2 (anti-Yt</w:t>
            </w:r>
            <w:r>
              <w:rPr>
                <w:rFonts w:cs="Arial"/>
                <w:sz w:val="16"/>
                <w:szCs w:val="16"/>
                <w:vertAlign w:val="superscript"/>
              </w:rPr>
              <w:t>b</w:t>
            </w:r>
            <w:r>
              <w:rPr>
                <w:rFonts w:cs="Arial"/>
                <w:sz w:val="16"/>
                <w:szCs w:val="16"/>
              </w:rPr>
              <w:t>)</w:t>
            </w:r>
          </w:p>
        </w:tc>
        <w:tc>
          <w:tcPr>
            <w:tcW w:w="1565" w:type="dxa"/>
            <w:shd w:val="clear" w:color="auto" w:fill="auto"/>
          </w:tcPr>
          <w:p w14:paraId="31F79D10" w14:textId="77777777" w:rsidR="00EF4BEC" w:rsidRDefault="009E2ACD">
            <w:pPr>
              <w:rPr>
                <w:rFonts w:cs="Arial"/>
                <w:sz w:val="16"/>
                <w:szCs w:val="16"/>
              </w:rPr>
            </w:pPr>
            <w:r>
              <w:rPr>
                <w:rFonts w:cs="Arial"/>
                <w:sz w:val="16"/>
                <w:szCs w:val="16"/>
              </w:rPr>
              <w:t>T&amp;S</w:t>
            </w:r>
          </w:p>
        </w:tc>
        <w:tc>
          <w:tcPr>
            <w:tcW w:w="1559" w:type="dxa"/>
            <w:shd w:val="clear" w:color="auto" w:fill="auto"/>
          </w:tcPr>
          <w:p w14:paraId="03515013" w14:textId="77777777" w:rsidR="00EF4BEC" w:rsidRDefault="009E2ACD">
            <w:pPr>
              <w:rPr>
                <w:rFonts w:cs="Arial"/>
                <w:sz w:val="16"/>
                <w:szCs w:val="16"/>
              </w:rPr>
            </w:pPr>
            <w:r>
              <w:rPr>
                <w:rFonts w:cs="Arial"/>
                <w:sz w:val="16"/>
                <w:szCs w:val="16"/>
              </w:rPr>
              <w:t>NA</w:t>
            </w:r>
          </w:p>
        </w:tc>
        <w:tc>
          <w:tcPr>
            <w:tcW w:w="1559" w:type="dxa"/>
            <w:shd w:val="clear" w:color="auto" w:fill="auto"/>
          </w:tcPr>
          <w:p w14:paraId="61799389" w14:textId="77777777" w:rsidR="00EF4BEC" w:rsidRDefault="009E2ACD">
            <w:pPr>
              <w:rPr>
                <w:rFonts w:cs="Arial"/>
                <w:sz w:val="16"/>
                <w:szCs w:val="16"/>
              </w:rPr>
            </w:pPr>
            <w:r>
              <w:rPr>
                <w:rFonts w:cs="Arial"/>
                <w:sz w:val="16"/>
                <w:szCs w:val="16"/>
              </w:rPr>
              <w:t>TC neg.</w:t>
            </w:r>
          </w:p>
        </w:tc>
        <w:tc>
          <w:tcPr>
            <w:tcW w:w="1701" w:type="dxa"/>
            <w:shd w:val="clear" w:color="auto" w:fill="auto"/>
          </w:tcPr>
          <w:p w14:paraId="101DD62D" w14:textId="77777777" w:rsidR="00EF4BEC" w:rsidRDefault="009E2ACD">
            <w:pPr>
              <w:rPr>
                <w:rFonts w:cs="Arial"/>
                <w:sz w:val="16"/>
                <w:szCs w:val="16"/>
              </w:rPr>
            </w:pPr>
            <w:r>
              <w:rPr>
                <w:rFonts w:cs="Arial"/>
                <w:sz w:val="16"/>
                <w:szCs w:val="16"/>
              </w:rPr>
              <w:t>T&amp;S</w:t>
            </w:r>
          </w:p>
        </w:tc>
        <w:tc>
          <w:tcPr>
            <w:tcW w:w="1701" w:type="dxa"/>
            <w:shd w:val="clear" w:color="auto" w:fill="auto"/>
          </w:tcPr>
          <w:p w14:paraId="63AE39F0" w14:textId="77777777" w:rsidR="00EF4BEC" w:rsidRDefault="009E2ACD">
            <w:pPr>
              <w:rPr>
                <w:rFonts w:cs="Arial"/>
                <w:sz w:val="16"/>
                <w:szCs w:val="16"/>
              </w:rPr>
            </w:pPr>
            <w:r>
              <w:rPr>
                <w:rFonts w:cs="Arial"/>
                <w:sz w:val="16"/>
                <w:szCs w:val="16"/>
              </w:rPr>
              <w:t>♀ &lt;50 anni</w:t>
            </w:r>
          </w:p>
        </w:tc>
      </w:tr>
      <w:tr w:rsidR="00EF4BEC" w14:paraId="1D490ED5" w14:textId="77777777">
        <w:trPr>
          <w:cantSplit/>
        </w:trPr>
        <w:tc>
          <w:tcPr>
            <w:tcW w:w="1980" w:type="dxa"/>
            <w:shd w:val="clear" w:color="auto" w:fill="auto"/>
          </w:tcPr>
          <w:p w14:paraId="2775B7C8" w14:textId="77777777" w:rsidR="00EF4BEC" w:rsidRDefault="009E2ACD">
            <w:pPr>
              <w:rPr>
                <w:rFonts w:cs="Arial"/>
                <w:b/>
                <w:sz w:val="16"/>
                <w:szCs w:val="16"/>
              </w:rPr>
            </w:pPr>
            <w:r>
              <w:rPr>
                <w:rFonts w:cs="Arial"/>
                <w:b/>
                <w:sz w:val="16"/>
                <w:szCs w:val="16"/>
              </w:rPr>
              <w:t>Altri AC</w:t>
            </w:r>
          </w:p>
        </w:tc>
        <w:tc>
          <w:tcPr>
            <w:tcW w:w="1565" w:type="dxa"/>
            <w:shd w:val="clear" w:color="auto" w:fill="auto"/>
          </w:tcPr>
          <w:p w14:paraId="6A184E18" w14:textId="77777777" w:rsidR="00EF4BEC" w:rsidRDefault="00EF4BEC">
            <w:pPr>
              <w:rPr>
                <w:rFonts w:cs="Arial"/>
                <w:sz w:val="16"/>
                <w:szCs w:val="16"/>
              </w:rPr>
            </w:pPr>
          </w:p>
        </w:tc>
        <w:tc>
          <w:tcPr>
            <w:tcW w:w="1559" w:type="dxa"/>
            <w:shd w:val="clear" w:color="auto" w:fill="auto"/>
          </w:tcPr>
          <w:p w14:paraId="4178D1C6" w14:textId="77777777" w:rsidR="00EF4BEC" w:rsidRDefault="00EF4BEC">
            <w:pPr>
              <w:rPr>
                <w:rFonts w:cs="Arial"/>
                <w:sz w:val="16"/>
                <w:szCs w:val="16"/>
              </w:rPr>
            </w:pPr>
          </w:p>
        </w:tc>
        <w:tc>
          <w:tcPr>
            <w:tcW w:w="1559" w:type="dxa"/>
            <w:shd w:val="clear" w:color="auto" w:fill="auto"/>
          </w:tcPr>
          <w:p w14:paraId="531477B7" w14:textId="77777777" w:rsidR="00EF4BEC" w:rsidRDefault="00EF4BEC">
            <w:pPr>
              <w:rPr>
                <w:rFonts w:cs="Arial"/>
                <w:sz w:val="16"/>
                <w:szCs w:val="16"/>
              </w:rPr>
            </w:pPr>
          </w:p>
        </w:tc>
        <w:tc>
          <w:tcPr>
            <w:tcW w:w="1701" w:type="dxa"/>
            <w:shd w:val="clear" w:color="auto" w:fill="auto"/>
          </w:tcPr>
          <w:p w14:paraId="534178B4" w14:textId="77777777" w:rsidR="00EF4BEC" w:rsidRDefault="00EF4BEC">
            <w:pPr>
              <w:rPr>
                <w:rFonts w:cs="Arial"/>
                <w:sz w:val="16"/>
                <w:szCs w:val="16"/>
              </w:rPr>
            </w:pPr>
          </w:p>
        </w:tc>
        <w:tc>
          <w:tcPr>
            <w:tcW w:w="1701" w:type="dxa"/>
            <w:shd w:val="clear" w:color="auto" w:fill="auto"/>
          </w:tcPr>
          <w:p w14:paraId="11C06756" w14:textId="77777777" w:rsidR="00EF4BEC" w:rsidRDefault="00EF4BEC">
            <w:pPr>
              <w:rPr>
                <w:rFonts w:cs="Arial"/>
                <w:sz w:val="16"/>
                <w:szCs w:val="16"/>
              </w:rPr>
            </w:pPr>
          </w:p>
        </w:tc>
      </w:tr>
      <w:tr w:rsidR="00EF4BEC" w14:paraId="6F789F51" w14:textId="77777777">
        <w:trPr>
          <w:cantSplit/>
        </w:trPr>
        <w:tc>
          <w:tcPr>
            <w:tcW w:w="1980" w:type="dxa"/>
            <w:shd w:val="clear" w:color="auto" w:fill="auto"/>
          </w:tcPr>
          <w:p w14:paraId="16CACAE3" w14:textId="77777777" w:rsidR="00EF4BEC" w:rsidRDefault="009E2ACD">
            <w:pPr>
              <w:rPr>
                <w:rFonts w:cs="Arial"/>
                <w:sz w:val="16"/>
                <w:szCs w:val="16"/>
              </w:rPr>
            </w:pPr>
            <w:r>
              <w:rPr>
                <w:rFonts w:cs="Arial"/>
                <w:sz w:val="16"/>
                <w:szCs w:val="16"/>
              </w:rPr>
              <w:t>Anti-HLA</w:t>
            </w:r>
          </w:p>
        </w:tc>
        <w:tc>
          <w:tcPr>
            <w:tcW w:w="1565" w:type="dxa"/>
            <w:shd w:val="clear" w:color="auto" w:fill="auto"/>
          </w:tcPr>
          <w:p w14:paraId="7CD62135" w14:textId="77777777" w:rsidR="00EF4BEC" w:rsidRDefault="009E2ACD">
            <w:pPr>
              <w:rPr>
                <w:rFonts w:cs="Arial"/>
                <w:sz w:val="16"/>
                <w:szCs w:val="16"/>
              </w:rPr>
            </w:pPr>
            <w:r>
              <w:rPr>
                <w:rFonts w:cs="Arial"/>
                <w:sz w:val="16"/>
                <w:szCs w:val="16"/>
              </w:rPr>
              <w:t>NA</w:t>
            </w:r>
          </w:p>
        </w:tc>
        <w:tc>
          <w:tcPr>
            <w:tcW w:w="1559" w:type="dxa"/>
            <w:shd w:val="clear" w:color="auto" w:fill="auto"/>
          </w:tcPr>
          <w:p w14:paraId="3DC4D7AE" w14:textId="77777777" w:rsidR="00EF4BEC" w:rsidRDefault="009E2ACD">
            <w:pPr>
              <w:rPr>
                <w:rFonts w:cs="Arial"/>
                <w:sz w:val="16"/>
                <w:szCs w:val="16"/>
              </w:rPr>
            </w:pPr>
            <w:r>
              <w:rPr>
                <w:rFonts w:cs="Arial"/>
                <w:sz w:val="16"/>
                <w:szCs w:val="16"/>
              </w:rPr>
              <w:t>NA</w:t>
            </w:r>
          </w:p>
        </w:tc>
        <w:tc>
          <w:tcPr>
            <w:tcW w:w="1559" w:type="dxa"/>
            <w:shd w:val="clear" w:color="auto" w:fill="auto"/>
          </w:tcPr>
          <w:p w14:paraId="4392F791" w14:textId="77777777" w:rsidR="00EF4BEC" w:rsidRDefault="009E2ACD">
            <w:pPr>
              <w:rPr>
                <w:rFonts w:cs="Arial"/>
                <w:sz w:val="16"/>
                <w:szCs w:val="16"/>
              </w:rPr>
            </w:pPr>
            <w:r>
              <w:rPr>
                <w:rFonts w:cs="Arial"/>
                <w:sz w:val="16"/>
                <w:szCs w:val="16"/>
              </w:rPr>
              <w:t>T&amp;S</w:t>
            </w:r>
          </w:p>
        </w:tc>
        <w:tc>
          <w:tcPr>
            <w:tcW w:w="1701" w:type="dxa"/>
            <w:shd w:val="clear" w:color="auto" w:fill="auto"/>
          </w:tcPr>
          <w:p w14:paraId="783048D8" w14:textId="77777777" w:rsidR="00EF4BEC" w:rsidRDefault="009E2ACD">
            <w:pPr>
              <w:rPr>
                <w:rFonts w:cs="Arial"/>
                <w:sz w:val="16"/>
                <w:szCs w:val="16"/>
              </w:rPr>
            </w:pPr>
            <w:r>
              <w:rPr>
                <w:rFonts w:cs="Arial"/>
                <w:sz w:val="16"/>
                <w:szCs w:val="16"/>
              </w:rPr>
              <w:t>T&amp;S</w:t>
            </w:r>
          </w:p>
        </w:tc>
        <w:tc>
          <w:tcPr>
            <w:tcW w:w="1701" w:type="dxa"/>
            <w:shd w:val="clear" w:color="auto" w:fill="auto"/>
          </w:tcPr>
          <w:p w14:paraId="6F677822" w14:textId="77777777" w:rsidR="00EF4BEC" w:rsidRDefault="009E2ACD">
            <w:pPr>
              <w:rPr>
                <w:rFonts w:cs="Arial"/>
                <w:sz w:val="16"/>
                <w:szCs w:val="16"/>
              </w:rPr>
            </w:pPr>
            <w:r>
              <w:rPr>
                <w:rFonts w:cs="Arial"/>
                <w:sz w:val="16"/>
                <w:szCs w:val="16"/>
              </w:rPr>
              <w:t>♀ &lt;50 anni</w:t>
            </w:r>
          </w:p>
        </w:tc>
      </w:tr>
      <w:tr w:rsidR="00EF4BEC" w14:paraId="0E5410D4" w14:textId="77777777">
        <w:trPr>
          <w:cantSplit/>
        </w:trPr>
        <w:tc>
          <w:tcPr>
            <w:tcW w:w="1980" w:type="dxa"/>
            <w:shd w:val="clear" w:color="auto" w:fill="auto"/>
          </w:tcPr>
          <w:p w14:paraId="0184E715" w14:textId="77777777" w:rsidR="00EF4BEC" w:rsidRDefault="009E2ACD">
            <w:pPr>
              <w:rPr>
                <w:rFonts w:cs="Arial"/>
                <w:sz w:val="16"/>
                <w:szCs w:val="16"/>
              </w:rPr>
            </w:pPr>
            <w:r>
              <w:rPr>
                <w:rFonts w:cs="Arial"/>
                <w:sz w:val="16"/>
                <w:szCs w:val="16"/>
              </w:rPr>
              <w:t>Anti-HTLA</w:t>
            </w:r>
          </w:p>
        </w:tc>
        <w:tc>
          <w:tcPr>
            <w:tcW w:w="1565" w:type="dxa"/>
            <w:shd w:val="clear" w:color="auto" w:fill="auto"/>
          </w:tcPr>
          <w:p w14:paraId="62A1BF75" w14:textId="77777777" w:rsidR="00EF4BEC" w:rsidRDefault="009E2ACD">
            <w:pPr>
              <w:rPr>
                <w:rFonts w:cs="Arial"/>
                <w:sz w:val="16"/>
                <w:szCs w:val="16"/>
              </w:rPr>
            </w:pPr>
            <w:r>
              <w:rPr>
                <w:rFonts w:cs="Arial"/>
                <w:sz w:val="16"/>
                <w:szCs w:val="16"/>
              </w:rPr>
              <w:t>NA</w:t>
            </w:r>
          </w:p>
        </w:tc>
        <w:tc>
          <w:tcPr>
            <w:tcW w:w="1559" w:type="dxa"/>
            <w:shd w:val="clear" w:color="auto" w:fill="auto"/>
          </w:tcPr>
          <w:p w14:paraId="723AD97F" w14:textId="77777777" w:rsidR="00EF4BEC" w:rsidRDefault="009E2ACD">
            <w:pPr>
              <w:rPr>
                <w:rFonts w:cs="Arial"/>
                <w:sz w:val="16"/>
                <w:szCs w:val="16"/>
              </w:rPr>
            </w:pPr>
            <w:r>
              <w:rPr>
                <w:rFonts w:cs="Arial"/>
                <w:sz w:val="16"/>
                <w:szCs w:val="16"/>
              </w:rPr>
              <w:t>NA</w:t>
            </w:r>
          </w:p>
        </w:tc>
        <w:tc>
          <w:tcPr>
            <w:tcW w:w="1559" w:type="dxa"/>
            <w:shd w:val="clear" w:color="auto" w:fill="auto"/>
          </w:tcPr>
          <w:p w14:paraId="56B6DB51" w14:textId="77777777" w:rsidR="00EF4BEC" w:rsidRDefault="009E2ACD">
            <w:pPr>
              <w:rPr>
                <w:rFonts w:cs="Arial"/>
                <w:sz w:val="16"/>
                <w:szCs w:val="16"/>
              </w:rPr>
            </w:pPr>
            <w:r>
              <w:rPr>
                <w:rFonts w:cs="Arial"/>
                <w:sz w:val="16"/>
                <w:szCs w:val="16"/>
              </w:rPr>
              <w:t>T&amp;S</w:t>
            </w:r>
          </w:p>
        </w:tc>
        <w:tc>
          <w:tcPr>
            <w:tcW w:w="1701" w:type="dxa"/>
            <w:shd w:val="clear" w:color="auto" w:fill="auto"/>
          </w:tcPr>
          <w:p w14:paraId="400887C5" w14:textId="77777777" w:rsidR="00EF4BEC" w:rsidRDefault="009E2ACD">
            <w:pPr>
              <w:rPr>
                <w:rFonts w:cs="Arial"/>
                <w:sz w:val="16"/>
                <w:szCs w:val="16"/>
              </w:rPr>
            </w:pPr>
            <w:r>
              <w:rPr>
                <w:rFonts w:cs="Arial"/>
                <w:sz w:val="16"/>
                <w:szCs w:val="16"/>
              </w:rPr>
              <w:t>T&amp;S</w:t>
            </w:r>
          </w:p>
        </w:tc>
        <w:tc>
          <w:tcPr>
            <w:tcW w:w="1701" w:type="dxa"/>
            <w:shd w:val="clear" w:color="auto" w:fill="auto"/>
          </w:tcPr>
          <w:p w14:paraId="224D6623" w14:textId="77777777" w:rsidR="00EF4BEC" w:rsidRDefault="009E2ACD">
            <w:pPr>
              <w:rPr>
                <w:rFonts w:cs="Arial"/>
                <w:sz w:val="16"/>
                <w:szCs w:val="16"/>
              </w:rPr>
            </w:pPr>
            <w:r>
              <w:rPr>
                <w:rFonts w:cs="Arial"/>
                <w:sz w:val="16"/>
                <w:szCs w:val="16"/>
              </w:rPr>
              <w:t>♀ &lt;50 anni</w:t>
            </w:r>
          </w:p>
        </w:tc>
      </w:tr>
      <w:tr w:rsidR="00EF4BEC" w14:paraId="7BFB455A" w14:textId="77777777">
        <w:trPr>
          <w:cantSplit/>
        </w:trPr>
        <w:tc>
          <w:tcPr>
            <w:tcW w:w="1980" w:type="dxa"/>
            <w:shd w:val="clear" w:color="auto" w:fill="auto"/>
          </w:tcPr>
          <w:p w14:paraId="4A164CC3" w14:textId="77777777" w:rsidR="00EF4BEC" w:rsidRDefault="009E2ACD">
            <w:pPr>
              <w:rPr>
                <w:rFonts w:cs="Arial"/>
                <w:sz w:val="16"/>
                <w:szCs w:val="16"/>
              </w:rPr>
            </w:pPr>
            <w:r>
              <w:rPr>
                <w:rFonts w:cs="Arial"/>
                <w:sz w:val="16"/>
                <w:szCs w:val="16"/>
              </w:rPr>
              <w:t>Anti-H1I1 (anti-HI)</w:t>
            </w:r>
          </w:p>
        </w:tc>
        <w:tc>
          <w:tcPr>
            <w:tcW w:w="1565" w:type="dxa"/>
            <w:shd w:val="clear" w:color="auto" w:fill="auto"/>
          </w:tcPr>
          <w:p w14:paraId="548BB413" w14:textId="77777777" w:rsidR="00EF4BEC" w:rsidRDefault="009E2ACD">
            <w:pPr>
              <w:rPr>
                <w:rFonts w:cs="Arial"/>
                <w:sz w:val="16"/>
                <w:szCs w:val="16"/>
              </w:rPr>
            </w:pPr>
            <w:r>
              <w:rPr>
                <w:rFonts w:cs="Arial"/>
                <w:sz w:val="16"/>
                <w:szCs w:val="16"/>
              </w:rPr>
              <w:t>T&amp;S</w:t>
            </w:r>
          </w:p>
        </w:tc>
        <w:tc>
          <w:tcPr>
            <w:tcW w:w="1559" w:type="dxa"/>
            <w:shd w:val="clear" w:color="auto" w:fill="auto"/>
          </w:tcPr>
          <w:p w14:paraId="0E881193" w14:textId="77777777" w:rsidR="00EF4BEC" w:rsidRDefault="009E2ACD">
            <w:pPr>
              <w:rPr>
                <w:rFonts w:cs="Arial"/>
                <w:sz w:val="16"/>
                <w:szCs w:val="16"/>
              </w:rPr>
            </w:pPr>
            <w:r>
              <w:rPr>
                <w:rFonts w:cs="Arial"/>
                <w:sz w:val="16"/>
                <w:szCs w:val="16"/>
              </w:rPr>
              <w:t>T&amp;S</w:t>
            </w:r>
          </w:p>
        </w:tc>
        <w:tc>
          <w:tcPr>
            <w:tcW w:w="1559" w:type="dxa"/>
            <w:shd w:val="clear" w:color="auto" w:fill="auto"/>
          </w:tcPr>
          <w:p w14:paraId="1516F19F" w14:textId="77777777" w:rsidR="00EF4BEC" w:rsidRDefault="009E2ACD">
            <w:pPr>
              <w:rPr>
                <w:rFonts w:cs="Arial"/>
                <w:sz w:val="16"/>
                <w:szCs w:val="16"/>
              </w:rPr>
            </w:pPr>
            <w:r>
              <w:rPr>
                <w:rFonts w:cs="Arial"/>
                <w:sz w:val="16"/>
                <w:szCs w:val="16"/>
              </w:rPr>
              <w:t>Ag neg. e TC neg.*</w:t>
            </w:r>
          </w:p>
        </w:tc>
        <w:tc>
          <w:tcPr>
            <w:tcW w:w="1701" w:type="dxa"/>
            <w:shd w:val="clear" w:color="auto" w:fill="auto"/>
          </w:tcPr>
          <w:p w14:paraId="2C402399" w14:textId="77777777" w:rsidR="00EF4BEC" w:rsidRDefault="009E2ACD">
            <w:pPr>
              <w:rPr>
                <w:rFonts w:cs="Arial"/>
                <w:sz w:val="16"/>
                <w:szCs w:val="16"/>
              </w:rPr>
            </w:pPr>
            <w:r>
              <w:rPr>
                <w:rFonts w:cs="Arial"/>
                <w:sz w:val="16"/>
                <w:szCs w:val="16"/>
              </w:rPr>
              <w:t>T&amp;S</w:t>
            </w:r>
          </w:p>
        </w:tc>
        <w:tc>
          <w:tcPr>
            <w:tcW w:w="1701" w:type="dxa"/>
            <w:shd w:val="clear" w:color="auto" w:fill="auto"/>
          </w:tcPr>
          <w:p w14:paraId="33A27F52" w14:textId="77777777" w:rsidR="00EF4BEC" w:rsidRDefault="009E2ACD">
            <w:pPr>
              <w:rPr>
                <w:rFonts w:cs="Arial"/>
                <w:sz w:val="16"/>
                <w:szCs w:val="16"/>
              </w:rPr>
            </w:pPr>
            <w:r>
              <w:rPr>
                <w:rFonts w:cs="Arial"/>
                <w:sz w:val="16"/>
                <w:szCs w:val="16"/>
              </w:rPr>
              <w:t>♀ &lt;50 anni</w:t>
            </w:r>
          </w:p>
        </w:tc>
      </w:tr>
      <w:tr w:rsidR="00EF4BEC" w14:paraId="7CD54631" w14:textId="77777777">
        <w:trPr>
          <w:cantSplit/>
        </w:trPr>
        <w:tc>
          <w:tcPr>
            <w:tcW w:w="1980" w:type="dxa"/>
            <w:shd w:val="clear" w:color="auto" w:fill="auto"/>
          </w:tcPr>
          <w:p w14:paraId="71A0825B" w14:textId="77777777" w:rsidR="00EF4BEC" w:rsidRDefault="009E2ACD">
            <w:pPr>
              <w:rPr>
                <w:rFonts w:cs="Arial"/>
                <w:sz w:val="16"/>
                <w:szCs w:val="16"/>
              </w:rPr>
            </w:pPr>
            <w:r>
              <w:rPr>
                <w:rFonts w:cs="Arial"/>
                <w:sz w:val="16"/>
                <w:szCs w:val="16"/>
              </w:rPr>
              <w:t>Anti-I1 (anti-I)</w:t>
            </w:r>
          </w:p>
        </w:tc>
        <w:tc>
          <w:tcPr>
            <w:tcW w:w="1565" w:type="dxa"/>
            <w:shd w:val="clear" w:color="auto" w:fill="auto"/>
          </w:tcPr>
          <w:p w14:paraId="35B5D638" w14:textId="77777777" w:rsidR="00EF4BEC" w:rsidRDefault="009E2ACD">
            <w:pPr>
              <w:rPr>
                <w:rFonts w:cs="Arial"/>
                <w:sz w:val="16"/>
                <w:szCs w:val="16"/>
              </w:rPr>
            </w:pPr>
            <w:r>
              <w:rPr>
                <w:rFonts w:cs="Arial"/>
                <w:sz w:val="16"/>
                <w:szCs w:val="16"/>
              </w:rPr>
              <w:t>T&amp;S</w:t>
            </w:r>
          </w:p>
        </w:tc>
        <w:tc>
          <w:tcPr>
            <w:tcW w:w="1559" w:type="dxa"/>
            <w:shd w:val="clear" w:color="auto" w:fill="auto"/>
          </w:tcPr>
          <w:p w14:paraId="1BE7F13F" w14:textId="77777777" w:rsidR="00EF4BEC" w:rsidRDefault="009E2ACD">
            <w:pPr>
              <w:rPr>
                <w:rFonts w:cs="Arial"/>
                <w:sz w:val="16"/>
                <w:szCs w:val="16"/>
              </w:rPr>
            </w:pPr>
            <w:r>
              <w:rPr>
                <w:rFonts w:cs="Arial"/>
                <w:sz w:val="16"/>
                <w:szCs w:val="16"/>
              </w:rPr>
              <w:t>T&amp;S</w:t>
            </w:r>
          </w:p>
        </w:tc>
        <w:tc>
          <w:tcPr>
            <w:tcW w:w="1559" w:type="dxa"/>
            <w:shd w:val="clear" w:color="auto" w:fill="auto"/>
          </w:tcPr>
          <w:p w14:paraId="2C1EBBA1" w14:textId="77777777" w:rsidR="00EF4BEC" w:rsidRDefault="009E2ACD">
            <w:pPr>
              <w:rPr>
                <w:rFonts w:cs="Arial"/>
                <w:sz w:val="16"/>
                <w:szCs w:val="16"/>
              </w:rPr>
            </w:pPr>
            <w:r>
              <w:rPr>
                <w:rFonts w:cs="Arial"/>
                <w:sz w:val="16"/>
                <w:szCs w:val="16"/>
              </w:rPr>
              <w:t>T&amp;S</w:t>
            </w:r>
          </w:p>
        </w:tc>
        <w:tc>
          <w:tcPr>
            <w:tcW w:w="1701" w:type="dxa"/>
            <w:shd w:val="clear" w:color="auto" w:fill="auto"/>
          </w:tcPr>
          <w:p w14:paraId="3210DCBE" w14:textId="77777777" w:rsidR="00EF4BEC" w:rsidRDefault="009E2ACD">
            <w:pPr>
              <w:rPr>
                <w:rFonts w:cs="Arial"/>
                <w:sz w:val="16"/>
                <w:szCs w:val="16"/>
              </w:rPr>
            </w:pPr>
            <w:r>
              <w:rPr>
                <w:rFonts w:cs="Arial"/>
                <w:sz w:val="16"/>
                <w:szCs w:val="16"/>
              </w:rPr>
              <w:t>T&amp;S</w:t>
            </w:r>
          </w:p>
        </w:tc>
        <w:tc>
          <w:tcPr>
            <w:tcW w:w="1701" w:type="dxa"/>
            <w:shd w:val="clear" w:color="auto" w:fill="auto"/>
          </w:tcPr>
          <w:p w14:paraId="4BF122EA" w14:textId="77777777" w:rsidR="00EF4BEC" w:rsidRDefault="009E2ACD">
            <w:pPr>
              <w:rPr>
                <w:rFonts w:cs="Arial"/>
                <w:sz w:val="16"/>
                <w:szCs w:val="16"/>
              </w:rPr>
            </w:pPr>
            <w:r>
              <w:rPr>
                <w:rFonts w:cs="Arial"/>
                <w:sz w:val="16"/>
                <w:szCs w:val="16"/>
              </w:rPr>
              <w:t>♀ &lt;50 anni</w:t>
            </w:r>
          </w:p>
        </w:tc>
      </w:tr>
      <w:tr w:rsidR="00EF4BEC" w14:paraId="5C47F2D2" w14:textId="77777777">
        <w:trPr>
          <w:cantSplit/>
        </w:trPr>
        <w:tc>
          <w:tcPr>
            <w:tcW w:w="1980" w:type="dxa"/>
            <w:shd w:val="clear" w:color="auto" w:fill="auto"/>
          </w:tcPr>
          <w:p w14:paraId="1CF2C82E" w14:textId="77777777" w:rsidR="00EF4BEC" w:rsidRDefault="009E2ACD">
            <w:pPr>
              <w:rPr>
                <w:rFonts w:cs="Arial"/>
                <w:sz w:val="16"/>
                <w:szCs w:val="16"/>
              </w:rPr>
            </w:pPr>
            <w:r>
              <w:rPr>
                <w:rFonts w:cs="Arial"/>
                <w:sz w:val="16"/>
                <w:szCs w:val="16"/>
              </w:rPr>
              <w:t>Auto-AC in IAT</w:t>
            </w:r>
          </w:p>
        </w:tc>
        <w:tc>
          <w:tcPr>
            <w:tcW w:w="1565" w:type="dxa"/>
            <w:shd w:val="clear" w:color="auto" w:fill="auto"/>
          </w:tcPr>
          <w:p w14:paraId="28F64249" w14:textId="77777777" w:rsidR="00EF4BEC" w:rsidRDefault="009E2ACD">
            <w:pPr>
              <w:rPr>
                <w:rFonts w:cs="Arial"/>
                <w:sz w:val="16"/>
                <w:szCs w:val="16"/>
              </w:rPr>
            </w:pPr>
            <w:r>
              <w:rPr>
                <w:rFonts w:cs="Arial"/>
                <w:sz w:val="16"/>
                <w:szCs w:val="16"/>
              </w:rPr>
              <w:t>NA</w:t>
            </w:r>
          </w:p>
        </w:tc>
        <w:tc>
          <w:tcPr>
            <w:tcW w:w="1559" w:type="dxa"/>
            <w:shd w:val="clear" w:color="auto" w:fill="auto"/>
          </w:tcPr>
          <w:p w14:paraId="0A59BF7E" w14:textId="77777777" w:rsidR="00EF4BEC" w:rsidRDefault="009E2ACD">
            <w:pPr>
              <w:rPr>
                <w:rFonts w:cs="Arial"/>
                <w:sz w:val="16"/>
                <w:szCs w:val="16"/>
              </w:rPr>
            </w:pPr>
            <w:r>
              <w:rPr>
                <w:rFonts w:cs="Arial"/>
                <w:sz w:val="16"/>
                <w:szCs w:val="16"/>
              </w:rPr>
              <w:t>NA</w:t>
            </w:r>
          </w:p>
        </w:tc>
        <w:tc>
          <w:tcPr>
            <w:tcW w:w="1559" w:type="dxa"/>
            <w:shd w:val="clear" w:color="auto" w:fill="auto"/>
          </w:tcPr>
          <w:p w14:paraId="3013F780" w14:textId="77777777" w:rsidR="00EF4BEC" w:rsidRDefault="009E2ACD">
            <w:pPr>
              <w:rPr>
                <w:rFonts w:cs="Arial"/>
                <w:sz w:val="16"/>
                <w:szCs w:val="16"/>
              </w:rPr>
            </w:pPr>
            <w:r>
              <w:rPr>
                <w:rFonts w:cs="Arial"/>
                <w:sz w:val="16"/>
                <w:szCs w:val="16"/>
              </w:rPr>
              <w:t>T&amp;S</w:t>
            </w:r>
          </w:p>
        </w:tc>
        <w:tc>
          <w:tcPr>
            <w:tcW w:w="1701" w:type="dxa"/>
            <w:shd w:val="clear" w:color="auto" w:fill="auto"/>
          </w:tcPr>
          <w:p w14:paraId="090AC238" w14:textId="77777777" w:rsidR="00EF4BEC" w:rsidRDefault="009E2ACD">
            <w:pPr>
              <w:rPr>
                <w:rFonts w:cs="Arial"/>
                <w:sz w:val="16"/>
                <w:szCs w:val="16"/>
              </w:rPr>
            </w:pPr>
            <w:r>
              <w:rPr>
                <w:rFonts w:cs="Arial"/>
                <w:sz w:val="16"/>
                <w:szCs w:val="16"/>
              </w:rPr>
              <w:t>T&amp;S</w:t>
            </w:r>
          </w:p>
        </w:tc>
        <w:tc>
          <w:tcPr>
            <w:tcW w:w="1701" w:type="dxa"/>
            <w:shd w:val="clear" w:color="auto" w:fill="auto"/>
          </w:tcPr>
          <w:p w14:paraId="7CC99437" w14:textId="77777777" w:rsidR="00EF4BEC" w:rsidRDefault="009E2ACD">
            <w:pPr>
              <w:rPr>
                <w:rFonts w:cs="Arial"/>
                <w:sz w:val="16"/>
                <w:szCs w:val="16"/>
              </w:rPr>
            </w:pPr>
            <w:r>
              <w:rPr>
                <w:rFonts w:cs="Arial"/>
                <w:sz w:val="16"/>
                <w:szCs w:val="16"/>
              </w:rPr>
              <w:t>Sì</w:t>
            </w:r>
          </w:p>
        </w:tc>
      </w:tr>
      <w:tr w:rsidR="00EF4BEC" w14:paraId="1DA3C335" w14:textId="77777777">
        <w:trPr>
          <w:cantSplit/>
        </w:trPr>
        <w:tc>
          <w:tcPr>
            <w:tcW w:w="1980" w:type="dxa"/>
            <w:shd w:val="clear" w:color="auto" w:fill="auto"/>
          </w:tcPr>
          <w:p w14:paraId="4F3B5168" w14:textId="77777777" w:rsidR="00EF4BEC" w:rsidRDefault="009E2ACD">
            <w:pPr>
              <w:rPr>
                <w:rFonts w:cs="Arial"/>
                <w:sz w:val="16"/>
                <w:szCs w:val="16"/>
                <w:lang w:val="it-IT"/>
              </w:rPr>
            </w:pPr>
            <w:r>
              <w:rPr>
                <w:rFonts w:cs="Arial"/>
                <w:sz w:val="16"/>
                <w:szCs w:val="16"/>
                <w:lang w:val="it-IT"/>
              </w:rPr>
              <w:t>AC contro la soluzione stabilizzatrice</w:t>
            </w:r>
          </w:p>
        </w:tc>
        <w:tc>
          <w:tcPr>
            <w:tcW w:w="1565" w:type="dxa"/>
            <w:shd w:val="clear" w:color="auto" w:fill="auto"/>
          </w:tcPr>
          <w:p w14:paraId="31AEEAEF" w14:textId="77777777" w:rsidR="00EF4BEC" w:rsidRDefault="009E2ACD">
            <w:pPr>
              <w:rPr>
                <w:rFonts w:cs="Arial"/>
                <w:sz w:val="16"/>
                <w:szCs w:val="16"/>
              </w:rPr>
            </w:pPr>
            <w:r>
              <w:rPr>
                <w:rFonts w:cs="Arial"/>
                <w:sz w:val="16"/>
                <w:szCs w:val="16"/>
              </w:rPr>
              <w:t>T&amp;S</w:t>
            </w:r>
          </w:p>
        </w:tc>
        <w:tc>
          <w:tcPr>
            <w:tcW w:w="1559" w:type="dxa"/>
            <w:shd w:val="clear" w:color="auto" w:fill="auto"/>
          </w:tcPr>
          <w:p w14:paraId="1E7798BC" w14:textId="77777777" w:rsidR="00EF4BEC" w:rsidRDefault="009E2ACD">
            <w:pPr>
              <w:rPr>
                <w:rFonts w:cs="Arial"/>
                <w:sz w:val="16"/>
                <w:szCs w:val="16"/>
              </w:rPr>
            </w:pPr>
            <w:r>
              <w:rPr>
                <w:rFonts w:cs="Arial"/>
                <w:sz w:val="16"/>
                <w:szCs w:val="16"/>
              </w:rPr>
              <w:t>T&amp;S</w:t>
            </w:r>
          </w:p>
        </w:tc>
        <w:tc>
          <w:tcPr>
            <w:tcW w:w="1559" w:type="dxa"/>
            <w:shd w:val="clear" w:color="auto" w:fill="auto"/>
          </w:tcPr>
          <w:p w14:paraId="6D2B29D4" w14:textId="77777777" w:rsidR="00EF4BEC" w:rsidRDefault="009E2ACD">
            <w:pPr>
              <w:rPr>
                <w:rFonts w:cs="Arial"/>
                <w:sz w:val="16"/>
                <w:szCs w:val="16"/>
              </w:rPr>
            </w:pPr>
            <w:r>
              <w:rPr>
                <w:rFonts w:cs="Arial"/>
                <w:sz w:val="16"/>
                <w:szCs w:val="16"/>
              </w:rPr>
              <w:t>T&amp;S</w:t>
            </w:r>
          </w:p>
        </w:tc>
        <w:tc>
          <w:tcPr>
            <w:tcW w:w="1701" w:type="dxa"/>
            <w:shd w:val="clear" w:color="auto" w:fill="auto"/>
          </w:tcPr>
          <w:p w14:paraId="2BF09970" w14:textId="77777777" w:rsidR="00EF4BEC" w:rsidRDefault="009E2ACD">
            <w:pPr>
              <w:rPr>
                <w:rFonts w:cs="Arial"/>
                <w:sz w:val="16"/>
                <w:szCs w:val="16"/>
              </w:rPr>
            </w:pPr>
            <w:r>
              <w:rPr>
                <w:rFonts w:cs="Arial"/>
                <w:sz w:val="16"/>
                <w:szCs w:val="16"/>
              </w:rPr>
              <w:t>T&amp;S</w:t>
            </w:r>
          </w:p>
        </w:tc>
        <w:tc>
          <w:tcPr>
            <w:tcW w:w="1701" w:type="dxa"/>
            <w:shd w:val="clear" w:color="auto" w:fill="auto"/>
          </w:tcPr>
          <w:p w14:paraId="483B150F" w14:textId="77777777" w:rsidR="00EF4BEC" w:rsidRDefault="009E2ACD">
            <w:pPr>
              <w:rPr>
                <w:rFonts w:cs="Arial"/>
                <w:sz w:val="16"/>
                <w:szCs w:val="16"/>
              </w:rPr>
            </w:pPr>
            <w:r>
              <w:rPr>
                <w:rFonts w:cs="Arial"/>
                <w:sz w:val="16"/>
                <w:szCs w:val="16"/>
              </w:rPr>
              <w:t>♀ &lt;50 anni</w:t>
            </w:r>
          </w:p>
        </w:tc>
      </w:tr>
    </w:tbl>
    <w:p w14:paraId="2E848B2B" w14:textId="77777777" w:rsidR="00EF4BEC" w:rsidRDefault="009E2ACD">
      <w:pPr>
        <w:tabs>
          <w:tab w:val="left" w:pos="284"/>
        </w:tabs>
        <w:ind w:left="-142"/>
        <w:rPr>
          <w:rFonts w:cs="Arial"/>
          <w:lang w:val="it-IT"/>
        </w:rPr>
      </w:pPr>
      <w:r>
        <w:rPr>
          <w:rFonts w:cs="Arial"/>
          <w:lang w:val="it-IT"/>
        </w:rPr>
        <w:tab/>
        <w:t>*</w:t>
      </w:r>
      <w:r>
        <w:rPr>
          <w:rFonts w:cs="Arial"/>
          <w:lang w:val="it-IT"/>
        </w:rPr>
        <w:tab/>
        <w:t>Sangue di gruppo ABO identico</w:t>
      </w:r>
    </w:p>
    <w:p w14:paraId="2DDBABF7" w14:textId="77777777" w:rsidR="00EF4BEC" w:rsidRDefault="009E2ACD">
      <w:pPr>
        <w:tabs>
          <w:tab w:val="left" w:pos="284"/>
        </w:tabs>
        <w:ind w:left="-142"/>
        <w:rPr>
          <w:rFonts w:cs="Arial"/>
          <w:lang w:val="it-IT"/>
        </w:rPr>
        <w:sectPr w:rsidR="00EF4BEC">
          <w:pgSz w:w="11906" w:h="16838"/>
          <w:pgMar w:top="1418" w:right="1418" w:bottom="993" w:left="1418" w:header="425" w:footer="170" w:gutter="0"/>
          <w:cols w:space="708"/>
          <w:docGrid w:linePitch="360"/>
        </w:sectPr>
      </w:pPr>
      <w:r>
        <w:rPr>
          <w:rFonts w:cs="Arial"/>
          <w:lang w:val="it-IT"/>
        </w:rPr>
        <w:tab/>
        <w:t>**</w:t>
      </w:r>
      <w:r>
        <w:rPr>
          <w:rFonts w:cs="Arial"/>
          <w:lang w:val="it-IT"/>
        </w:rPr>
        <w:tab/>
        <w:t>Per AC anti-RH3 (anti-E) e anti-RH8 (anti-C</w:t>
      </w:r>
      <w:r>
        <w:rPr>
          <w:rFonts w:cs="Arial"/>
          <w:vertAlign w:val="superscript"/>
          <w:lang w:val="it-IT"/>
        </w:rPr>
        <w:t>w</w:t>
      </w:r>
      <w:r>
        <w:rPr>
          <w:rFonts w:cs="Arial"/>
          <w:lang w:val="it-IT"/>
        </w:rPr>
        <w:t>) «enzyme only»: vedi § 5.3.4 e § 5.5</w:t>
      </w:r>
    </w:p>
    <w:p w14:paraId="5F60F72C" w14:textId="77777777" w:rsidR="00EF4BEC" w:rsidRDefault="009E2ACD">
      <w:pPr>
        <w:rPr>
          <w:rFonts w:cs="Arial"/>
          <w:b/>
          <w:lang w:val="it-IT"/>
        </w:rPr>
      </w:pPr>
      <w:r>
        <w:rPr>
          <w:rFonts w:cs="Arial"/>
          <w:b/>
          <w:lang w:val="it-IT"/>
        </w:rPr>
        <w:lastRenderedPageBreak/>
        <w:t>Abbreviazioni</w:t>
      </w:r>
    </w:p>
    <w:p w14:paraId="25F74806" w14:textId="77777777" w:rsidR="00EF4BEC" w:rsidRDefault="009E2ACD">
      <w:pPr>
        <w:pStyle w:val="AufzhlungPunkt"/>
      </w:pPr>
      <w:r>
        <w:t>Ag neg. e TC neg.: trasfondere CE antigene-negativo per l’anticorpo identificato e con test di compatibilità negativo</w:t>
      </w:r>
    </w:p>
    <w:p w14:paraId="1A92DD62" w14:textId="77777777" w:rsidR="00EF4BEC" w:rsidRDefault="009E2ACD">
      <w:pPr>
        <w:pStyle w:val="AufzhlungPunkt"/>
      </w:pPr>
      <w:r>
        <w:t>TC neg. (solo): trasfondere CE con test di compatibilità negativo senza conferma di negatività dell’antigene</w:t>
      </w:r>
    </w:p>
    <w:p w14:paraId="0F43ABDB" w14:textId="77777777" w:rsidR="00EF4BEC" w:rsidRDefault="009E2ACD">
      <w:pPr>
        <w:pStyle w:val="AufzhlungPunkt"/>
      </w:pPr>
      <w:r>
        <w:t>T&amp;S: trasfusione CE secondo la regola del Type &amp; Screen</w:t>
      </w:r>
    </w:p>
    <w:p w14:paraId="3224AD54" w14:textId="77777777" w:rsidR="00EF4BEC" w:rsidRDefault="009E2ACD">
      <w:pPr>
        <w:pStyle w:val="AufzhlungPunkt"/>
      </w:pPr>
      <w:r>
        <w:t>♀ &lt;50 anni: donne in età compresa tra 0 e 50 anni</w:t>
      </w:r>
    </w:p>
    <w:p w14:paraId="441A2EE8" w14:textId="77777777" w:rsidR="00EF4BEC" w:rsidRDefault="009E2ACD">
      <w:pPr>
        <w:pStyle w:val="berschrift4"/>
        <w:rPr>
          <w:lang w:val="it-IT"/>
        </w:rPr>
      </w:pPr>
      <w:r>
        <w:rPr>
          <w:lang w:val="it-IT"/>
        </w:rPr>
        <w:t>Altre indicazioni per la scelta di CE feno-/genotipizzati</w:t>
      </w:r>
    </w:p>
    <w:p w14:paraId="3B864762" w14:textId="21649BF6" w:rsidR="00EF4BEC" w:rsidRDefault="009E2ACD">
      <w:pPr>
        <w:pStyle w:val="AufzhlungPunkt"/>
      </w:pPr>
      <w:r>
        <w:t>Viene raccomandato di trasfondere dei CE compatibili con fenotipo RH/KEL1 nei seguenti casi:</w:t>
      </w:r>
    </w:p>
    <w:p w14:paraId="296D50EC" w14:textId="77777777" w:rsidR="00EF4BEC" w:rsidRDefault="009E2ACD">
      <w:pPr>
        <w:pStyle w:val="AufzhlungStrich"/>
      </w:pPr>
      <w:r>
        <w:t>nelle bambine e nelle donne fino a 50 anni,</w:t>
      </w:r>
    </w:p>
    <w:p w14:paraId="61C62ACD" w14:textId="2BBFE3E4" w:rsidR="00EF4BEC" w:rsidRDefault="009E2ACD">
      <w:pPr>
        <w:pStyle w:val="AufzhlungStrich"/>
      </w:pPr>
      <w:r>
        <w:t>in caso di autoimmunizzazioni anti-eritrocitarie. Se la determinazione del fenotipo con metodi sierologici non è possibile, si deve prendere in considerazione una genotipizzazione RH/KEL1 (vedi § 11); per anticorpi liberi vedi § 9.5,</w:t>
      </w:r>
    </w:p>
    <w:p w14:paraId="0A64D5BD" w14:textId="7B966C27" w:rsidR="00EF4BEC" w:rsidRDefault="009E2ACD">
      <w:pPr>
        <w:pStyle w:val="AufzhlungStrich"/>
      </w:pPr>
      <w:r>
        <w:t>per i pazienti trasfusi cronicamente (es.: emoglobinopatie come la drepanocitosi o la talassemia), si raccomanda di trasfondere se possibile dei CE compatibili con fenotipo RH/KEL1 e se possibile JK1 (Jk</w:t>
      </w:r>
      <w:r>
        <w:rPr>
          <w:vertAlign w:val="superscript"/>
        </w:rPr>
        <w:t>a</w:t>
      </w:r>
      <w:r>
        <w:t>), JK2 (Jk</w:t>
      </w:r>
      <w:r>
        <w:rPr>
          <w:vertAlign w:val="superscript"/>
        </w:rPr>
        <w:t>b</w:t>
      </w:r>
      <w:r>
        <w:t>), FY1 (Fy</w:t>
      </w:r>
      <w:r>
        <w:rPr>
          <w:vertAlign w:val="superscript"/>
        </w:rPr>
        <w:t>a</w:t>
      </w:r>
      <w:r>
        <w:t>), FY2 (Fy</w:t>
      </w:r>
      <w:r>
        <w:rPr>
          <w:vertAlign w:val="superscript"/>
        </w:rPr>
        <w:t>b</w:t>
      </w:r>
      <w:r>
        <w:t>), MNS3 (S) e MNS4 (s).</w:t>
      </w:r>
    </w:p>
    <w:p w14:paraId="59687047" w14:textId="77777777" w:rsidR="00EF4BEC" w:rsidRDefault="009E2ACD">
      <w:pPr>
        <w:rPr>
          <w:rFonts w:cs="Arial"/>
          <w:b/>
          <w:lang w:val="it-IT"/>
        </w:rPr>
      </w:pPr>
      <w:r>
        <w:rPr>
          <w:rFonts w:cs="Arial"/>
          <w:b/>
          <w:lang w:val="it-IT"/>
        </w:rPr>
        <w:t>Nota bene</w:t>
      </w:r>
    </w:p>
    <w:p w14:paraId="16A82B9D" w14:textId="1FB77586" w:rsidR="00EF4BEC" w:rsidRDefault="009E2ACD">
      <w:pPr>
        <w:pStyle w:val="AufzhlungPunkt"/>
      </w:pPr>
      <w:r>
        <w:t>Nel caso di trasfusioni profilattiche antigene-compatibili si può rinunciare alla verifica sierologica de</w:t>
      </w:r>
      <w:r w:rsidR="00080604">
        <w:t>lla negatività degli</w:t>
      </w:r>
      <w:r>
        <w:t>antigeni coinvolti.</w:t>
      </w:r>
    </w:p>
    <w:p w14:paraId="4C9DD504" w14:textId="77777777" w:rsidR="00EF4BEC" w:rsidRDefault="009E2ACD">
      <w:pPr>
        <w:pStyle w:val="AufzhlungPunkt"/>
      </w:pPr>
      <w:r>
        <w:t>Questo procedere è raccomandato quale misura preventiva. La misura non deve penalizzare pazienti con anticorpi irregolari. Ciò significa che sangue RH4 (c) o RH5 (e) negativo non deve essere distribuito illimitatamente per trasfusioni antigene-compatibili a titolo preventivo.</w:t>
      </w:r>
    </w:p>
    <w:p w14:paraId="5E01D005" w14:textId="41AF5879" w:rsidR="00EF4BEC" w:rsidRDefault="009E2ACD">
      <w:pPr>
        <w:pStyle w:val="AufzhlungPunkt"/>
      </w:pPr>
      <w:r>
        <w:t>Il trattamento preventivo con antigeni RH/KEL1 non è fortemente raccomandato per bambine di meno di 4 mesi, poiché il rischio di un’alloimmunizzazione è considerato</w:t>
      </w:r>
      <w:r w:rsidR="008F64E8">
        <w:t xml:space="preserve"> molto basso nella letteratura </w:t>
      </w:r>
      <w:r w:rsidR="008F64E8">
        <w:fldChar w:fldCharType="begin"/>
      </w:r>
      <w:r w:rsidR="008F64E8">
        <w:instrText xml:space="preserve"> ADDIN ZOTERO_ITEM CSL_CITATION {"citationID":"S5RaoVTO","properties":{"formattedCitation":"[17]","plainCitation":"[17]","noteIndex":0},"citationItems":[{"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8F64E8">
        <w:fldChar w:fldCharType="separate"/>
      </w:r>
      <w:r w:rsidR="008F64E8" w:rsidRPr="008F64E8">
        <w:t>[17]</w:t>
      </w:r>
      <w:r w:rsidR="008F64E8">
        <w:fldChar w:fldCharType="end"/>
      </w:r>
      <w:r>
        <w:t>.</w:t>
      </w:r>
    </w:p>
    <w:p w14:paraId="06963A4B" w14:textId="77777777" w:rsidR="00EF4BEC" w:rsidRDefault="009E2ACD" w:rsidP="00B83906">
      <w:pPr>
        <w:pStyle w:val="berschrift2"/>
      </w:pPr>
      <w:bookmarkStart w:id="128" w:name="_Toc161749152"/>
      <w:r>
        <w:t>Scelta del gruppo sanguigno ABO del plasma fresco congelato</w:t>
      </w:r>
      <w:bookmarkEnd w:id="128"/>
    </w:p>
    <w:p w14:paraId="4C4706FE" w14:textId="77777777" w:rsidR="00EF4BEC" w:rsidRDefault="009E2ACD">
      <w:pPr>
        <w:rPr>
          <w:lang w:val="it-IT"/>
        </w:rPr>
      </w:pPr>
      <w:r>
        <w:rPr>
          <w:lang w:val="it-IT"/>
        </w:rPr>
        <w:t xml:space="preserve">Le seguenti raccomandazioni si applicano ad adulti e bambini di età superiore a 5 mesi. </w:t>
      </w:r>
    </w:p>
    <w:p w14:paraId="5BE41D82" w14:textId="77777777" w:rsidR="00EF4BEC" w:rsidRDefault="009E2ACD">
      <w:pPr>
        <w:pStyle w:val="AufzhlungPunkt"/>
      </w:pPr>
      <w:r>
        <w:t>Come regola generale il paziente deve essere trasfuso con dei PFC isogruppo ABO.</w:t>
      </w:r>
    </w:p>
    <w:p w14:paraId="594CD8E5" w14:textId="68EE45D7" w:rsidR="00EF4BEC" w:rsidRDefault="009E2ACD">
      <w:pPr>
        <w:pStyle w:val="AufzhlungPunkt"/>
      </w:pPr>
      <w:r>
        <w:t>Non è necessario rispettare l’antigene RH1.</w:t>
      </w:r>
    </w:p>
    <w:p w14:paraId="7429ACC5" w14:textId="77777777" w:rsidR="00EF4BEC" w:rsidRDefault="009E2ACD">
      <w:pPr>
        <w:pStyle w:val="AufzhlungPunkt"/>
      </w:pPr>
      <w:r>
        <w:t>In caso di carenza di PFC ABO isogruppo è possibile trasfondere dei PFC di gruppo ABO compatibile (vedi tabella 8.2).</w:t>
      </w:r>
    </w:p>
    <w:p w14:paraId="7DD5EAC3" w14:textId="77777777" w:rsidR="00EF4BEC" w:rsidRDefault="009E2ACD">
      <w:pPr>
        <w:rPr>
          <w:rFonts w:cs="Arial"/>
          <w:lang w:val="it-IT"/>
        </w:rPr>
      </w:pPr>
      <w:r>
        <w:rPr>
          <w:rFonts w:cs="Arial"/>
          <w:lang w:val="it-IT"/>
        </w:rPr>
        <w:t>Tabella 8.2 Regole di compatibilità per i PFC</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3"/>
      </w:tblGrid>
      <w:tr w:rsidR="00EF4BEC" w14:paraId="399ADE12" w14:textId="77777777">
        <w:trPr>
          <w:trHeight w:val="162"/>
        </w:trPr>
        <w:tc>
          <w:tcPr>
            <w:tcW w:w="3510" w:type="dxa"/>
            <w:shd w:val="clear" w:color="auto" w:fill="D9D9D9" w:themeFill="background1" w:themeFillShade="D9"/>
            <w:vAlign w:val="center"/>
          </w:tcPr>
          <w:p w14:paraId="129C3BF2" w14:textId="77777777" w:rsidR="00EF4BEC" w:rsidRDefault="009E2ACD">
            <w:pPr>
              <w:rPr>
                <w:rFonts w:cs="Arial"/>
                <w:b/>
              </w:rPr>
            </w:pPr>
            <w:r>
              <w:rPr>
                <w:rFonts w:cs="Arial"/>
                <w:b/>
              </w:rPr>
              <w:t>Gruppo sanguigno del paziente</w:t>
            </w:r>
          </w:p>
        </w:tc>
        <w:tc>
          <w:tcPr>
            <w:tcW w:w="3543" w:type="dxa"/>
            <w:shd w:val="clear" w:color="auto" w:fill="D9D9D9" w:themeFill="background1" w:themeFillShade="D9"/>
            <w:vAlign w:val="center"/>
          </w:tcPr>
          <w:p w14:paraId="0EB46532" w14:textId="77777777" w:rsidR="00EF4BEC" w:rsidRDefault="009E2ACD">
            <w:pPr>
              <w:rPr>
                <w:rFonts w:cs="Arial"/>
                <w:b/>
              </w:rPr>
            </w:pPr>
            <w:r>
              <w:rPr>
                <w:rFonts w:cs="Arial"/>
                <w:b/>
              </w:rPr>
              <w:t xml:space="preserve">Gruppo sanguigno del PFC </w:t>
            </w:r>
          </w:p>
        </w:tc>
      </w:tr>
      <w:tr w:rsidR="00EF4BEC" w14:paraId="2B40AC70" w14:textId="77777777">
        <w:tc>
          <w:tcPr>
            <w:tcW w:w="3510" w:type="dxa"/>
            <w:shd w:val="clear" w:color="auto" w:fill="auto"/>
            <w:vAlign w:val="center"/>
          </w:tcPr>
          <w:p w14:paraId="05462725" w14:textId="77777777" w:rsidR="00EF4BEC" w:rsidRDefault="009E2ACD">
            <w:pPr>
              <w:rPr>
                <w:rFonts w:cs="Arial"/>
              </w:rPr>
            </w:pPr>
            <w:r>
              <w:rPr>
                <w:rFonts w:cs="Arial"/>
              </w:rPr>
              <w:t>O</w:t>
            </w:r>
          </w:p>
        </w:tc>
        <w:tc>
          <w:tcPr>
            <w:tcW w:w="3543" w:type="dxa"/>
            <w:shd w:val="clear" w:color="auto" w:fill="auto"/>
            <w:vAlign w:val="center"/>
          </w:tcPr>
          <w:p w14:paraId="6F58584E" w14:textId="77777777" w:rsidR="00EF4BEC" w:rsidRDefault="009E2ACD">
            <w:pPr>
              <w:rPr>
                <w:rFonts w:cs="Arial"/>
              </w:rPr>
            </w:pPr>
            <w:r>
              <w:rPr>
                <w:rFonts w:cs="Arial"/>
              </w:rPr>
              <w:t>O, A, B e AB</w:t>
            </w:r>
          </w:p>
        </w:tc>
      </w:tr>
      <w:tr w:rsidR="00EF4BEC" w14:paraId="2DA10AE2" w14:textId="77777777">
        <w:tc>
          <w:tcPr>
            <w:tcW w:w="3510" w:type="dxa"/>
            <w:shd w:val="clear" w:color="auto" w:fill="auto"/>
            <w:vAlign w:val="center"/>
          </w:tcPr>
          <w:p w14:paraId="6B240127" w14:textId="77777777" w:rsidR="00EF4BEC" w:rsidRDefault="009E2ACD">
            <w:pPr>
              <w:rPr>
                <w:rFonts w:cs="Arial"/>
              </w:rPr>
            </w:pPr>
            <w:r>
              <w:rPr>
                <w:rFonts w:cs="Arial"/>
              </w:rPr>
              <w:t>A</w:t>
            </w:r>
          </w:p>
        </w:tc>
        <w:tc>
          <w:tcPr>
            <w:tcW w:w="3543" w:type="dxa"/>
            <w:shd w:val="clear" w:color="auto" w:fill="auto"/>
            <w:vAlign w:val="center"/>
          </w:tcPr>
          <w:p w14:paraId="5F4D2569" w14:textId="77777777" w:rsidR="00EF4BEC" w:rsidRDefault="009E2ACD">
            <w:pPr>
              <w:rPr>
                <w:rFonts w:cs="Arial"/>
              </w:rPr>
            </w:pPr>
            <w:r>
              <w:rPr>
                <w:rFonts w:cs="Arial"/>
              </w:rPr>
              <w:t>A e AB</w:t>
            </w:r>
          </w:p>
        </w:tc>
      </w:tr>
      <w:tr w:rsidR="00EF4BEC" w14:paraId="44FB8911" w14:textId="77777777">
        <w:tc>
          <w:tcPr>
            <w:tcW w:w="3510" w:type="dxa"/>
            <w:shd w:val="clear" w:color="auto" w:fill="auto"/>
            <w:vAlign w:val="center"/>
          </w:tcPr>
          <w:p w14:paraId="162B3C7F" w14:textId="77777777" w:rsidR="00EF4BEC" w:rsidRDefault="009E2ACD">
            <w:pPr>
              <w:rPr>
                <w:rFonts w:cs="Arial"/>
              </w:rPr>
            </w:pPr>
            <w:r>
              <w:rPr>
                <w:rFonts w:cs="Arial"/>
              </w:rPr>
              <w:t>B</w:t>
            </w:r>
          </w:p>
        </w:tc>
        <w:tc>
          <w:tcPr>
            <w:tcW w:w="3543" w:type="dxa"/>
            <w:shd w:val="clear" w:color="auto" w:fill="auto"/>
            <w:vAlign w:val="center"/>
          </w:tcPr>
          <w:p w14:paraId="13BC970D" w14:textId="77777777" w:rsidR="00EF4BEC" w:rsidRDefault="009E2ACD">
            <w:pPr>
              <w:rPr>
                <w:rFonts w:cs="Arial"/>
              </w:rPr>
            </w:pPr>
            <w:r>
              <w:rPr>
                <w:rFonts w:cs="Arial"/>
              </w:rPr>
              <w:t>B e AB</w:t>
            </w:r>
          </w:p>
        </w:tc>
      </w:tr>
      <w:tr w:rsidR="00EF4BEC" w14:paraId="675C7EE3" w14:textId="77777777">
        <w:tc>
          <w:tcPr>
            <w:tcW w:w="3510" w:type="dxa"/>
            <w:shd w:val="clear" w:color="auto" w:fill="auto"/>
            <w:vAlign w:val="center"/>
          </w:tcPr>
          <w:p w14:paraId="00C625A0" w14:textId="77777777" w:rsidR="00EF4BEC" w:rsidRDefault="009E2ACD">
            <w:pPr>
              <w:rPr>
                <w:rFonts w:cs="Arial"/>
              </w:rPr>
            </w:pPr>
            <w:r>
              <w:rPr>
                <w:rFonts w:cs="Arial"/>
              </w:rPr>
              <w:t>AB</w:t>
            </w:r>
          </w:p>
        </w:tc>
        <w:tc>
          <w:tcPr>
            <w:tcW w:w="3543" w:type="dxa"/>
            <w:shd w:val="clear" w:color="auto" w:fill="auto"/>
            <w:vAlign w:val="center"/>
          </w:tcPr>
          <w:p w14:paraId="4C9E1370" w14:textId="77777777" w:rsidR="00EF4BEC" w:rsidRDefault="009E2ACD">
            <w:pPr>
              <w:rPr>
                <w:rFonts w:cs="Arial"/>
              </w:rPr>
            </w:pPr>
            <w:r>
              <w:rPr>
                <w:rFonts w:cs="Arial"/>
              </w:rPr>
              <w:t>AB</w:t>
            </w:r>
          </w:p>
        </w:tc>
      </w:tr>
    </w:tbl>
    <w:p w14:paraId="627CAF8B" w14:textId="77777777" w:rsidR="00EF4BEC" w:rsidRDefault="009E2ACD">
      <w:pPr>
        <w:rPr>
          <w:lang w:val="it-IT"/>
        </w:rPr>
      </w:pPr>
      <w:r>
        <w:rPr>
          <w:lang w:val="it-IT"/>
        </w:rPr>
        <w:t>La distribuzione di PFC di gruppo ABO compatibile non isogruppo deve rimanere un’eccezione. Il richiedente deve essere informato della situazione.</w:t>
      </w:r>
    </w:p>
    <w:p w14:paraId="6467429B" w14:textId="17FA43D7" w:rsidR="00EF4BEC" w:rsidRDefault="009E2ACD" w:rsidP="00B83906">
      <w:pPr>
        <w:pStyle w:val="berschrift2"/>
      </w:pPr>
      <w:bookmarkStart w:id="129" w:name="_Toc161749153"/>
      <w:r>
        <w:t>Scelta del gruppo sanguigno ABO/RH1 dei concentrati di trombociti</w:t>
      </w:r>
      <w:bookmarkEnd w:id="129"/>
    </w:p>
    <w:p w14:paraId="68732FB7" w14:textId="77777777" w:rsidR="00EF4BEC" w:rsidRDefault="009E2ACD">
      <w:pPr>
        <w:pStyle w:val="AufzhlungPunkt"/>
      </w:pPr>
      <w:r>
        <w:t>Le seguenti raccomandazioni si applicano ad adulti e bambini</w:t>
      </w:r>
    </w:p>
    <w:p w14:paraId="25FA5F8A" w14:textId="4B46FFDE" w:rsidR="00EF4BEC" w:rsidRDefault="009E2ACD">
      <w:pPr>
        <w:pStyle w:val="AufzhlungStrich"/>
      </w:pPr>
      <w:r>
        <w:t>La scelta del gruppo sanguigno ABO e dell’antigene RH1 di un CT dipende dal gruppo sanguigno ABO/RH1 del ricevente e dalla disponibilità dei prodotti.</w:t>
      </w:r>
    </w:p>
    <w:p w14:paraId="113005BB" w14:textId="182AB789" w:rsidR="00EF4BEC" w:rsidRDefault="009E2ACD">
      <w:pPr>
        <w:pStyle w:val="AufzhlungStrich"/>
      </w:pPr>
      <w:r>
        <w:t xml:space="preserve">In caso di trasfusione di CT RH1 positivi in un paziente RH1 negativo, dovrebbe essere considerata la somministrazione di una profilassi RHIG nelle bambine e donne &lt;50, siccome esiste un rischio di sensibilizzazione. Sembra che questo sia maggiore con CT da pool rispetto a CT da aferesi. L’indicazione per la somministrazione di una profilassi RHIG </w:t>
      </w:r>
      <w:r>
        <w:lastRenderedPageBreak/>
        <w:t>deve essere valutata caso per caso, in rapporto al rischio di immunizzazione nella situazione specifica.</w:t>
      </w:r>
    </w:p>
    <w:p w14:paraId="7A588D2E" w14:textId="77777777" w:rsidR="00EF4BEC" w:rsidRDefault="009E2ACD">
      <w:pPr>
        <w:pStyle w:val="AufzhlungStrich"/>
      </w:pPr>
      <w:r>
        <w:t>È sufficiente una sola determinazione del gruppo sanguigno (in situazioni d’urgenza possono venire trasfusi CT anche senza determinazione del gruppo sanguigno ABO).</w:t>
      </w:r>
    </w:p>
    <w:p w14:paraId="322D0B08" w14:textId="77777777" w:rsidR="00EF4BEC" w:rsidRDefault="009E2ACD">
      <w:pPr>
        <w:pStyle w:val="AufzhlungStrich"/>
      </w:pPr>
      <w:bookmarkStart w:id="130" w:name="_Hlk48057021"/>
      <w:r>
        <w:t>Nel caso di trasfusione di CT inattivati dai patogeni con Intercept (basato su Amotosalene) non è richiesta l’irradiazione quale profilassi per Graft versus Host Disease (in futuro si potranno eventualmente considerare altre procedure se autorizzate).</w:t>
      </w:r>
      <w:bookmarkEnd w:id="130"/>
    </w:p>
    <w:p w14:paraId="050D0C59" w14:textId="39CFBC8A" w:rsidR="00EF4BEC" w:rsidRDefault="009E2ACD" w:rsidP="00B83906">
      <w:pPr>
        <w:pStyle w:val="berschrift2"/>
      </w:pPr>
      <w:bookmarkStart w:id="131" w:name="_Toc161749154"/>
      <w:r>
        <w:t>Scelta del gruppo sanguigno ABO/RH1</w:t>
      </w:r>
      <w:r w:rsidR="00C71882">
        <w:t xml:space="preserve"> </w:t>
      </w:r>
      <w:r>
        <w:t>in situazioni particolari</w:t>
      </w:r>
      <w:bookmarkEnd w:id="131"/>
    </w:p>
    <w:p w14:paraId="609F6F06" w14:textId="77777777" w:rsidR="00EF4BEC" w:rsidRDefault="009E2ACD">
      <w:pPr>
        <w:rPr>
          <w:lang w:val="it-IT"/>
        </w:rPr>
        <w:sectPr w:rsidR="00EF4BEC">
          <w:pgSz w:w="11906" w:h="16838"/>
          <w:pgMar w:top="1418" w:right="1418" w:bottom="993" w:left="1418" w:header="425" w:footer="170" w:gutter="0"/>
          <w:cols w:space="708"/>
          <w:docGrid w:linePitch="360"/>
        </w:sectPr>
      </w:pPr>
      <w:r>
        <w:rPr>
          <w:lang w:val="it-IT"/>
        </w:rPr>
        <w:t>Per la trasfusione neonatale e intrauterina si rimanda ai rispettivi paragrafi nel capitolo 7. Per la trasfusione di massa, l’exanguinotrasfusione e la trasfusione in urgenza vedi capitolo 9.</w:t>
      </w:r>
    </w:p>
    <w:p w14:paraId="5F7317F6" w14:textId="77777777" w:rsidR="00EF4BEC" w:rsidRDefault="009E2ACD">
      <w:pPr>
        <w:pStyle w:val="berschrift1"/>
      </w:pPr>
      <w:bookmarkStart w:id="132" w:name="_Toc161749155"/>
      <w:r>
        <w:lastRenderedPageBreak/>
        <w:t>Procedura e scelta dei prodotti sanguigni in situazioni cliniche particolari</w:t>
      </w:r>
      <w:bookmarkEnd w:id="132"/>
    </w:p>
    <w:p w14:paraId="5D6B2FF4" w14:textId="77777777" w:rsidR="00EF4BEC" w:rsidRDefault="009E2ACD" w:rsidP="00B83906">
      <w:pPr>
        <w:pStyle w:val="berschrift2"/>
      </w:pPr>
      <w:bookmarkStart w:id="133" w:name="_Toc161749156"/>
      <w:r>
        <w:t>Trasfusione autologa</w:t>
      </w:r>
      <w:bookmarkEnd w:id="133"/>
    </w:p>
    <w:p w14:paraId="741B7995" w14:textId="6014BBF4" w:rsidR="00EF4BEC" w:rsidRDefault="009E2ACD">
      <w:pPr>
        <w:rPr>
          <w:rFonts w:cs="Arial"/>
          <w:lang w:val="it-IT"/>
        </w:rPr>
      </w:pPr>
      <w:r>
        <w:rPr>
          <w:rFonts w:cs="Arial"/>
          <w:lang w:val="it-IT"/>
        </w:rPr>
        <w:t xml:space="preserve">Per evitare errori di scambio, devono essere eseguiti i medesimi test pretrasfusionali come per trasfusioni omologhe </w:t>
      </w:r>
      <w:r w:rsidR="000858C1">
        <w:rPr>
          <w:rFonts w:cs="Arial"/>
          <w:lang w:val="it-IT"/>
        </w:rPr>
        <w:t>(</w:t>
      </w:r>
      <w:r w:rsidR="008F64E8">
        <w:rPr>
          <w:rFonts w:cs="Arial"/>
          <w:lang w:val="it-IT"/>
        </w:rPr>
        <w:t xml:space="preserve">vedi </w:t>
      </w:r>
      <w:r w:rsidR="000858C1">
        <w:rPr>
          <w:rFonts w:cs="Arial"/>
          <w:lang w:val="it-IT"/>
        </w:rPr>
        <w:t>§</w:t>
      </w:r>
      <w:r w:rsidR="008F64E8">
        <w:rPr>
          <w:rFonts w:cs="Arial"/>
          <w:lang w:val="it-IT"/>
        </w:rPr>
        <w:t xml:space="preserve"> </w:t>
      </w:r>
      <w:r w:rsidR="000858C1">
        <w:rPr>
          <w:rFonts w:cs="Arial"/>
          <w:lang w:val="it-IT"/>
        </w:rPr>
        <w:t>5 e</w:t>
      </w:r>
      <w:r w:rsidR="008F64E8">
        <w:rPr>
          <w:rFonts w:cs="Arial"/>
          <w:lang w:val="it-IT"/>
        </w:rPr>
        <w:t xml:space="preserve"> </w:t>
      </w:r>
      <w:r w:rsidR="008F64E8">
        <w:rPr>
          <w:rFonts w:cs="Arial"/>
          <w:lang w:val="it-IT"/>
        </w:rPr>
        <w:fldChar w:fldCharType="begin"/>
      </w:r>
      <w:r w:rsidR="008F64E8">
        <w:rPr>
          <w:rFonts w:cs="Arial"/>
          <w:lang w:val="it-IT"/>
        </w:rPr>
        <w:instrText xml:space="preserve"> ADDIN ZOTERO_ITEM CSL_CITATION {"citationID":"Kd0mVohX","properties":{"formattedCitation":"[3]","plainCitation":"[3]","noteIndex":0},"citationItems":[{"id":2497,"uris":["http://zotero.org/groups/969572/items/DPXDQB8Y"],"uri":["http://zotero.org/groups/969572/items/DPXDQB8Y"],"itemData":{"id":2497,"type":"article-journal","title":"Leitfaden für die Qualitätssicherung in der Transfusionspraxis","author":[{"family":"Schweizerische Arbeitsgruppe Qualitätssicherung in der Anwendung von Blutprodukten","given":""}]}}],"schema":"https://github.com/citation-style-language/schema/raw/master/csl-citation.json"} </w:instrText>
      </w:r>
      <w:r w:rsidR="008F64E8">
        <w:rPr>
          <w:rFonts w:cs="Arial"/>
          <w:lang w:val="it-IT"/>
        </w:rPr>
        <w:fldChar w:fldCharType="separate"/>
      </w:r>
      <w:r w:rsidR="008F64E8" w:rsidRPr="008F64E8">
        <w:rPr>
          <w:rFonts w:cs="Arial"/>
          <w:lang w:val="en-US"/>
        </w:rPr>
        <w:t>[3]</w:t>
      </w:r>
      <w:r w:rsidR="008F64E8">
        <w:rPr>
          <w:rFonts w:cs="Arial"/>
          <w:lang w:val="it-IT"/>
        </w:rPr>
        <w:fldChar w:fldCharType="end"/>
      </w:r>
      <w:r w:rsidR="000858C1">
        <w:rPr>
          <w:rFonts w:cs="Arial"/>
          <w:lang w:val="it-IT"/>
        </w:rPr>
        <w:t>)</w:t>
      </w:r>
      <w:r w:rsidR="008F64E8">
        <w:rPr>
          <w:rFonts w:cs="Arial"/>
          <w:lang w:val="it-IT"/>
        </w:rPr>
        <w:t>.</w:t>
      </w:r>
    </w:p>
    <w:p w14:paraId="5D143014" w14:textId="77777777" w:rsidR="00EF4BEC" w:rsidRDefault="009E2ACD" w:rsidP="00B83906">
      <w:pPr>
        <w:pStyle w:val="berschrift2"/>
      </w:pPr>
      <w:bookmarkStart w:id="134" w:name="_Toc161749157"/>
      <w:r>
        <w:t>Exanguinotrasfusioni</w:t>
      </w:r>
      <w:bookmarkEnd w:id="134"/>
    </w:p>
    <w:p w14:paraId="6A855F48" w14:textId="77777777" w:rsidR="00EF4BEC" w:rsidRDefault="009E2ACD">
      <w:pPr>
        <w:rPr>
          <w:rFonts w:cs="Arial"/>
          <w:lang w:val="it-IT"/>
        </w:rPr>
      </w:pPr>
      <w:r>
        <w:rPr>
          <w:rFonts w:cs="Arial"/>
          <w:lang w:val="it-IT"/>
        </w:rPr>
        <w:t>Le indagini immunoematologiche e la preparazione del sangue per le exanguinotrasfusioni devono essere svolte da un laboratorio specializzato.</w:t>
      </w:r>
    </w:p>
    <w:p w14:paraId="19A53C34" w14:textId="77777777" w:rsidR="00EF4BEC" w:rsidRDefault="009E2ACD">
      <w:pPr>
        <w:rPr>
          <w:rFonts w:cs="Arial"/>
          <w:lang w:val="it-IT"/>
        </w:rPr>
      </w:pPr>
      <w:r>
        <w:rPr>
          <w:rFonts w:cs="Arial"/>
          <w:lang w:val="it-IT"/>
        </w:rPr>
        <w:t>Per le exanguinotrasfusioni si applicano le raccomandazioni trasfusionali secondo § 7.4.2, 7.4.3, 8 e 9.7.</w:t>
      </w:r>
    </w:p>
    <w:p w14:paraId="730351B5" w14:textId="77777777" w:rsidR="00EF4BEC" w:rsidRDefault="009E2ACD">
      <w:pPr>
        <w:rPr>
          <w:rFonts w:cs="Arial"/>
          <w:lang w:val="it-IT"/>
        </w:rPr>
      </w:pPr>
      <w:r>
        <w:rPr>
          <w:rFonts w:cs="Arial"/>
          <w:lang w:val="it-IT"/>
        </w:rPr>
        <w:t>Quando viene prodotto un nuovo emoderivato (p. es. CE e PFC) è necessario determinare il valore ematocrito e comunicarlo al richiedente.</w:t>
      </w:r>
    </w:p>
    <w:p w14:paraId="61627D25" w14:textId="77777777" w:rsidR="00EF4BEC" w:rsidRDefault="009E2ACD" w:rsidP="00B83906">
      <w:pPr>
        <w:pStyle w:val="berschrift2"/>
      </w:pPr>
      <w:bookmarkStart w:id="135" w:name="_Toc161749158"/>
      <w:r>
        <w:t>Trasfusione in urgenza</w:t>
      </w:r>
      <w:bookmarkEnd w:id="135"/>
    </w:p>
    <w:p w14:paraId="1A67DFF7" w14:textId="453EA155" w:rsidR="00EF4BEC" w:rsidRDefault="009E2ACD">
      <w:pPr>
        <w:rPr>
          <w:rFonts w:cs="Arial"/>
          <w:lang w:val="it-IT"/>
        </w:rPr>
      </w:pPr>
      <w:r>
        <w:rPr>
          <w:rFonts w:cs="Arial"/>
          <w:lang w:val="it-IT"/>
        </w:rPr>
        <w:t>Il capitolo riguarda ogni situazione che non permette di completare i test pretrasfusionali per tempo. Le condizioni e le responsabilità in situazioni di urgenza devono essere previamente regolamentate e documentate all’interno dell’istituto</w:t>
      </w:r>
      <w:r w:rsidR="008F64E8">
        <w:rPr>
          <w:rFonts w:cs="Arial"/>
          <w:lang w:val="it-IT"/>
        </w:rPr>
        <w:t xml:space="preserve"> </w:t>
      </w:r>
      <w:r w:rsidR="008F64E8">
        <w:rPr>
          <w:rFonts w:cs="Arial"/>
          <w:lang w:val="it-IT"/>
        </w:rPr>
        <w:fldChar w:fldCharType="begin"/>
      </w:r>
      <w:r w:rsidR="008F64E8">
        <w:rPr>
          <w:rFonts w:cs="Arial"/>
          <w:lang w:val="it-IT"/>
        </w:rPr>
        <w:instrText xml:space="preserve"> ADDIN ZOTERO_ITEM CSL_CITATION {"citationID":"pwOkspZk","properties":{"formattedCitation":"[3]","plainCitation":"[3]","noteIndex":0},"citationItems":[{"id":2497,"uris":["http://zotero.org/groups/969572/items/DPXDQB8Y"],"uri":["http://zotero.org/groups/969572/items/DPXDQB8Y"],"itemData":{"id":2497,"type":"article-journal","title":"Leitfaden für die Qualitätssicherung in der Transfusionspraxis","author":[{"family":"Schweizerische Arbeitsgruppe Qualitätssicherung in der Anwendung von Blutprodukten","given":""}]}}],"schema":"https://github.com/citation-style-language/schema/raw/master/csl-citation.json"} </w:instrText>
      </w:r>
      <w:r w:rsidR="008F64E8">
        <w:rPr>
          <w:rFonts w:cs="Arial"/>
          <w:lang w:val="it-IT"/>
        </w:rPr>
        <w:fldChar w:fldCharType="separate"/>
      </w:r>
      <w:r w:rsidR="008F64E8" w:rsidRPr="008F64E8">
        <w:rPr>
          <w:rFonts w:cs="Arial"/>
          <w:lang w:val="fr-CH"/>
        </w:rPr>
        <w:t>[3]</w:t>
      </w:r>
      <w:r w:rsidR="008F64E8">
        <w:rPr>
          <w:rFonts w:cs="Arial"/>
          <w:lang w:val="it-IT"/>
        </w:rPr>
        <w:fldChar w:fldCharType="end"/>
      </w:r>
      <w:r>
        <w:rPr>
          <w:rFonts w:cs="Arial"/>
          <w:lang w:val="it-IT"/>
        </w:rPr>
        <w:t xml:space="preserve">. </w:t>
      </w:r>
    </w:p>
    <w:p w14:paraId="1E07D34F" w14:textId="77777777" w:rsidR="00EF4BEC" w:rsidRDefault="009E2ACD">
      <w:pPr>
        <w:rPr>
          <w:rFonts w:cs="Arial"/>
          <w:lang w:val="it-IT"/>
        </w:rPr>
      </w:pPr>
      <w:r>
        <w:rPr>
          <w:rFonts w:cs="Arial"/>
          <w:lang w:val="it-IT"/>
        </w:rPr>
        <w:t>In linea di principio anche per le trasfusioni in urgenza dovrebbero, nel limite del possibile, essere trasfusi componenti sanguigni di gruppo identico tenendo conto in ogni caso degli anticorpi noti. Sempre se possibile si dovrebbe effettuare un prelievo di sangue prima dell’avvio di trasfusioni/infusioni.</w:t>
      </w:r>
    </w:p>
    <w:p w14:paraId="2D42499A" w14:textId="010FE095" w:rsidR="00EF4BEC" w:rsidRDefault="009E2ACD" w:rsidP="00B83906">
      <w:pPr>
        <w:pStyle w:val="berschrift3"/>
      </w:pPr>
      <w:bookmarkStart w:id="136" w:name="_Toc161749159"/>
      <w:r>
        <w:t>Scelta del gruppo ABO e RH1</w:t>
      </w:r>
      <w:r w:rsidR="00C71882">
        <w:t xml:space="preserve"> </w:t>
      </w:r>
      <w:r>
        <w:t>nelle trasfusioni in urgenza</w:t>
      </w:r>
      <w:bookmarkEnd w:id="136"/>
    </w:p>
    <w:p w14:paraId="630E72DC" w14:textId="77777777" w:rsidR="00EF4BEC" w:rsidRDefault="009E2ACD">
      <w:pPr>
        <w:pStyle w:val="AufzhlungPunkt"/>
      </w:pPr>
      <w:r>
        <w:t xml:space="preserve">Determinazione del gruppo sanguigno non nota (senza T&amp;S, TC e indagini DAT): si devono somministrare CE di gruppo O e plasma di gruppo AB (vedi § 9.4 </w:t>
      </w:r>
      <w:r>
        <w:rPr>
          <w:rFonts w:ascii="Calibri" w:hAnsi="Calibri" w:cs="Calibri"/>
        </w:rPr>
        <w:t>«</w:t>
      </w:r>
      <w:r>
        <w:t>Trasfusione massiccia</w:t>
      </w:r>
      <w:r>
        <w:rPr>
          <w:rFonts w:ascii="Calibri" w:hAnsi="Calibri" w:cs="Calibri"/>
        </w:rPr>
        <w:t>»</w:t>
      </w:r>
      <w:r>
        <w:t>).</w:t>
      </w:r>
    </w:p>
    <w:p w14:paraId="3C593A90" w14:textId="4A77D4D7" w:rsidR="00EF4BEC" w:rsidRDefault="009E2ACD">
      <w:pPr>
        <w:pStyle w:val="AufzhlungPunkt"/>
      </w:pPr>
      <w:r>
        <w:t>Presenza di una sola determinazione del gruppo (provetta o tessera del gruppo sanguigno): si possono somministrare CE di gruppo O, RH1 identico.</w:t>
      </w:r>
    </w:p>
    <w:p w14:paraId="46287B95" w14:textId="77777777" w:rsidR="00EF4BEC" w:rsidRDefault="009E2ACD">
      <w:pPr>
        <w:pStyle w:val="AufzhlungPunkt"/>
      </w:pPr>
      <w:r>
        <w:t>Presenza di due determinazioni del gruppo, di cui almeno una da un prelievo che risale a meno di 96 ore prima (senza RAI): se i risultati non danno adito a dubbi, è da subito possibile tornare al gruppo sanguigno del paziente (attenzione: in un contesto di trasfusioni in urgenza è possibile che il gruppo sanguigno sia di difficile interpretazione a causa di campo misto e diluizione).</w:t>
      </w:r>
    </w:p>
    <w:p w14:paraId="1A19D1BB" w14:textId="77777777" w:rsidR="00EF4BEC" w:rsidRDefault="009E2ACD" w:rsidP="00B83906">
      <w:pPr>
        <w:pStyle w:val="berschrift3"/>
      </w:pPr>
      <w:bookmarkStart w:id="137" w:name="_Toc161749160"/>
      <w:r>
        <w:t>Altri test pretrasfusionali</w:t>
      </w:r>
      <w:bookmarkEnd w:id="137"/>
    </w:p>
    <w:p w14:paraId="6B8FBB2A" w14:textId="77777777" w:rsidR="00EF4BEC" w:rsidRDefault="009E2ACD">
      <w:pPr>
        <w:pStyle w:val="AufzhlungPunkt"/>
      </w:pPr>
      <w:r>
        <w:t>Di seguito eseguire subito una RAI e se necessario un DAT sul campione di sangue utilizzato per i test pretrasfusionali.</w:t>
      </w:r>
    </w:p>
    <w:p w14:paraId="040C17FF" w14:textId="77777777" w:rsidR="00EF4BEC" w:rsidRDefault="009E2ACD">
      <w:pPr>
        <w:pStyle w:val="AufzhlungPunkt"/>
      </w:pPr>
      <w:r>
        <w:t>Il medico responsabile della trasfusione deve essere informato immediatamente in caso di trasfusione incompatibile ancedente. Anche per eventuali ulteriori trasfusioni incompatibili deve decidere il medico competente. In caso di autoanticorpi caldi vedi § 9.5.</w:t>
      </w:r>
    </w:p>
    <w:p w14:paraId="5F014E1A" w14:textId="77777777" w:rsidR="00EF4BEC" w:rsidRDefault="009E2ACD" w:rsidP="00B83906">
      <w:pPr>
        <w:pStyle w:val="berschrift2"/>
      </w:pPr>
      <w:bookmarkStart w:id="138" w:name="_Toc161749161"/>
      <w:r>
        <w:t>Trasfusione massiccia</w:t>
      </w:r>
      <w:bookmarkStart w:id="139" w:name="_Toc177962443"/>
      <w:bookmarkStart w:id="140" w:name="_Toc241314584"/>
      <w:bookmarkEnd w:id="138"/>
    </w:p>
    <w:p w14:paraId="501E2BB0" w14:textId="77777777" w:rsidR="00EF4BEC" w:rsidRDefault="009E2ACD" w:rsidP="00B83906">
      <w:pPr>
        <w:pStyle w:val="berschrift3"/>
      </w:pPr>
      <w:bookmarkStart w:id="141" w:name="_Toc161749162"/>
      <w:r>
        <w:t>Generalità</w:t>
      </w:r>
      <w:bookmarkEnd w:id="139"/>
      <w:bookmarkEnd w:id="140"/>
      <w:bookmarkEnd w:id="141"/>
    </w:p>
    <w:p w14:paraId="307EDC86" w14:textId="77777777" w:rsidR="00EF4BEC" w:rsidRDefault="009E2ACD">
      <w:pPr>
        <w:pStyle w:val="AufzhlungPunkt"/>
      </w:pPr>
      <w:r>
        <w:t>In un adulto la trasfusione massiccia è definita come la somministrazione di più di 4 CE in un’ora o come la sostituzione di oltre il 50% del sangue nell’arco di 3 ore o la sostituzione completa del volume sanguigno nelle 24 ore.</w:t>
      </w:r>
    </w:p>
    <w:p w14:paraId="0DDED580" w14:textId="77777777" w:rsidR="00EF4BEC" w:rsidRDefault="009E2ACD">
      <w:pPr>
        <w:pStyle w:val="AufzhlungPunkt"/>
      </w:pPr>
      <w:r>
        <w:t>Non appena il protocollo di trasfusione massiccia non è più necessario, tornare ad applicare le regole per le analisi pretrasfusionali come da § 5.</w:t>
      </w:r>
    </w:p>
    <w:p w14:paraId="38B15AA7" w14:textId="77777777" w:rsidR="00EF4BEC" w:rsidRDefault="009E2ACD">
      <w:pPr>
        <w:pStyle w:val="AufzhlungStrich"/>
      </w:pPr>
      <w:r>
        <w:t xml:space="preserve">Nel caso in cui i test pretrasfusionali non possono essere completati, seguire cap. </w:t>
      </w:r>
      <w:r>
        <w:rPr>
          <w:rFonts w:ascii="Calibri" w:hAnsi="Calibri" w:cs="Calibri"/>
        </w:rPr>
        <w:t>«</w:t>
      </w:r>
      <w:r>
        <w:t>Trasfusione in urgenza</w:t>
      </w:r>
      <w:r>
        <w:rPr>
          <w:rFonts w:ascii="Calibri" w:hAnsi="Calibri" w:cs="Calibri"/>
        </w:rPr>
        <w:t>»</w:t>
      </w:r>
      <w:r>
        <w:t xml:space="preserve"> § 9.3. </w:t>
      </w:r>
    </w:p>
    <w:p w14:paraId="06EF99A1" w14:textId="77777777" w:rsidR="00EF4BEC" w:rsidRDefault="009E2ACD">
      <w:pPr>
        <w:pStyle w:val="AufzhlungStrich"/>
      </w:pPr>
      <w:r>
        <w:t xml:space="preserve">Durante una trasfusione massiccia, in presenza di alloanticorpi si dovrebbero eseguire i TC possibilmente con un campione di sangue prelevato prima dell’inizio della trasfusione. </w:t>
      </w:r>
    </w:p>
    <w:p w14:paraId="30E56A9D" w14:textId="722D2813" w:rsidR="00EF4BEC" w:rsidRDefault="009E2ACD" w:rsidP="00B83906">
      <w:pPr>
        <w:pStyle w:val="berschrift3"/>
      </w:pPr>
      <w:bookmarkStart w:id="142" w:name="_Toc177962444"/>
      <w:bookmarkStart w:id="143" w:name="_Toc241314585"/>
      <w:bookmarkStart w:id="144" w:name="_Toc161749163"/>
      <w:r>
        <w:t>Scelta del gruppo sanguigno ABO/RH1 in caso di trasfusione massiccia</w:t>
      </w:r>
      <w:bookmarkEnd w:id="142"/>
      <w:bookmarkEnd w:id="143"/>
      <w:bookmarkEnd w:id="144"/>
    </w:p>
    <w:p w14:paraId="6C37DA8E" w14:textId="513A1FB9" w:rsidR="00EF4BEC" w:rsidRDefault="009E2ACD">
      <w:pPr>
        <w:rPr>
          <w:rFonts w:cs="Arial"/>
          <w:lang w:val="it-IT"/>
        </w:rPr>
      </w:pPr>
      <w:r>
        <w:rPr>
          <w:rFonts w:cs="Arial"/>
          <w:lang w:val="it-IT"/>
        </w:rPr>
        <w:t>Appena sono disponibili i risultati del gruppo sanguigno ABO, RH1 e RAI procedere come segue:</w:t>
      </w:r>
    </w:p>
    <w:p w14:paraId="35C86B67" w14:textId="77777777" w:rsidR="00EF4BEC" w:rsidRDefault="009E2ACD">
      <w:pPr>
        <w:pStyle w:val="AufzhlungPunkt"/>
      </w:pPr>
      <w:r>
        <w:lastRenderedPageBreak/>
        <w:t xml:space="preserve">se il gruppo ABO dei CE trasfusi non è identico ma compatibile con quello del paziente, è possibile ritornare in qualsiasi momento a prodotti dello stesso gruppo sanguigno del paziente. Il principio descritto in § 8.1.1 si applica anche in questo caso. </w:t>
      </w:r>
    </w:p>
    <w:p w14:paraId="64CD24F5" w14:textId="147C74C9" w:rsidR="00EF4BEC" w:rsidRDefault="009E2ACD">
      <w:pPr>
        <w:pStyle w:val="AufzhlungPunkt"/>
      </w:pPr>
      <w:r>
        <w:t>in caso di trasfusioni massicce, in accordo con il medico prescrivente e le procedure interne, si possono distribuire in via eccezionale delle unità di gruppo RH1 positivo a un paziente di gruppo RH1 negativo (o RH1 non noto).</w:t>
      </w:r>
    </w:p>
    <w:p w14:paraId="2D0FC357" w14:textId="77777777" w:rsidR="00EF4BEC" w:rsidRDefault="009E2ACD">
      <w:pPr>
        <w:pStyle w:val="AufzhlungStrich"/>
      </w:pPr>
      <w:r>
        <w:t>Le condizioni sono le seguenti:</w:t>
      </w:r>
    </w:p>
    <w:p w14:paraId="50C5AF81" w14:textId="05990B7B" w:rsidR="00EF4BEC" w:rsidRDefault="009E2ACD">
      <w:pPr>
        <w:pStyle w:val="AufzhlungQuadrat"/>
      </w:pPr>
      <w:r>
        <w:t>difficoltà nel coprire il possibile bisogno di CE di gruppo RH1 negativo,</w:t>
      </w:r>
    </w:p>
    <w:p w14:paraId="4AEACBF8" w14:textId="5B5A1399" w:rsidR="00EF4BEC" w:rsidRDefault="009E2ACD">
      <w:pPr>
        <w:pStyle w:val="AufzhlungQuadrat"/>
      </w:pPr>
      <w:r>
        <w:t>nel paziente non sono stati rilevati o non sono noti anticorpi anti-RH1,</w:t>
      </w:r>
    </w:p>
    <w:p w14:paraId="2C9FB659" w14:textId="77777777" w:rsidR="00EF4BEC" w:rsidRDefault="009E2ACD">
      <w:pPr>
        <w:pStyle w:val="AufzhlungQuadrat"/>
      </w:pPr>
      <w:r>
        <w:t>il paziente è un uomo oppure una donna di età superiore a 50 anni.</w:t>
      </w:r>
    </w:p>
    <w:p w14:paraId="0623323A" w14:textId="2CE1FCDB" w:rsidR="00EF4BEC" w:rsidRDefault="009E2ACD">
      <w:pPr>
        <w:pStyle w:val="AufzhlungStrich"/>
      </w:pPr>
      <w:r>
        <w:t>Appena l’emorragia acuta è sotto controllo, si deve ritornare al più presto possibile a trasfondere CE di gruppo RH1 negativo. In caso di ripetute trasfusioni di CE di gruppo RH1 positivo si dovrebbe escludere un’alloimmunizzazione o un Booster al più tardi dopo 96 ore. Tra le 6 e 12 settimane dopo la trasfusione incompatibile si dovrebbe eseguire una RAI (vedi § 5.3).</w:t>
      </w:r>
    </w:p>
    <w:p w14:paraId="0F4A8FE6" w14:textId="5A289A62" w:rsidR="00EF4BEC" w:rsidRDefault="009E2ACD">
      <w:pPr>
        <w:pStyle w:val="AufzhlungStrich"/>
      </w:pPr>
      <w:r>
        <w:t>Si deve assolutamente evitare di trasfondere CE di gruppo RH1 positivo nelle bambine e donne fino a 50 anni di gruppo RH1 negativo (vedi anche</w:t>
      </w:r>
      <w:bookmarkStart w:id="145" w:name="_Toc177962446"/>
      <w:bookmarkStart w:id="146" w:name="_Toc241314586"/>
      <w:r>
        <w:t xml:space="preserve"> § 8.1.2).</w:t>
      </w:r>
    </w:p>
    <w:p w14:paraId="3A7F2034" w14:textId="77777777" w:rsidR="00EF4BEC" w:rsidRDefault="009E2ACD" w:rsidP="00B83906">
      <w:pPr>
        <w:pStyle w:val="berschrift2"/>
      </w:pPr>
      <w:bookmarkStart w:id="147" w:name="_Toc241314587"/>
      <w:bookmarkStart w:id="148" w:name="_Toc161749164"/>
      <w:bookmarkEnd w:id="145"/>
      <w:bookmarkEnd w:id="146"/>
      <w:r>
        <w:t>Anemia emolitica autoimmune</w:t>
      </w:r>
      <w:bookmarkEnd w:id="147"/>
      <w:bookmarkEnd w:id="148"/>
    </w:p>
    <w:p w14:paraId="3A0346D4" w14:textId="77777777" w:rsidR="00EF4BEC" w:rsidRDefault="009E2ACD">
      <w:pPr>
        <w:pStyle w:val="AufzhlungPunkt"/>
      </w:pPr>
      <w:r>
        <w:t xml:space="preserve">Esistono diversi tipi di autoanticorpi (quelli che reagiscono a temperature calde [IgG], freddi [IgM] e misti [IgG e IgM]), ognuno dei quali richiede misure precauzionali diverse nelle trasfusioni.  </w:t>
      </w:r>
    </w:p>
    <w:p w14:paraId="2AC107FC" w14:textId="77777777" w:rsidR="00EF4BEC" w:rsidRDefault="009E2ACD">
      <w:pPr>
        <w:pStyle w:val="AufzhlungPunkt"/>
      </w:pPr>
      <w:r>
        <w:t>I pazienti con sospetto o confermato AIHA che hanno bisogno di una trasfusione devono essere indirizzati a un medico esperto in medicina trasfusionale.</w:t>
      </w:r>
    </w:p>
    <w:p w14:paraId="4A5C27A3" w14:textId="77777777" w:rsidR="00EF4BEC" w:rsidRDefault="009E2ACD">
      <w:pPr>
        <w:pStyle w:val="AufzhlungPunkt"/>
      </w:pPr>
      <w:r>
        <w:t>Gli autoanticorpi evidenziati nell’IAT possono eventualmente nascondere altri alloanticorpi presenti. Prima di eventuali trasfusioni è necessario assicurarsi che non siano presenti alloanticorpi di importanza clinica. Eventualmente occorre rivolgersi a un laboratorio di riferimento.</w:t>
      </w:r>
    </w:p>
    <w:p w14:paraId="4C6970EE" w14:textId="77777777" w:rsidR="00EF4BEC" w:rsidRDefault="009E2ACD">
      <w:pPr>
        <w:pStyle w:val="AufzhlungPunkt"/>
      </w:pPr>
      <w:r>
        <w:t xml:space="preserve">Se negli ultimi 4 mesi è già stata svolta una trasfusione: </w:t>
      </w:r>
    </w:p>
    <w:p w14:paraId="041E36B4" w14:textId="77777777" w:rsidR="00EF4BEC" w:rsidRDefault="009E2ACD">
      <w:pPr>
        <w:pStyle w:val="AufzhlungStrich"/>
      </w:pPr>
      <w:r>
        <w:t>è impossibile distinguere tra allo- e autoanticorpi senza approfondite analisi di biologia molecolare,</w:t>
      </w:r>
    </w:p>
    <w:p w14:paraId="16253B82" w14:textId="62B7760B" w:rsidR="00EF4BEC" w:rsidRDefault="009E2ACD">
      <w:pPr>
        <w:pStyle w:val="AufzhlungStrich"/>
      </w:pPr>
      <w:r>
        <w:t xml:space="preserve">in caso di autoanticorpi eritrocitari: vedi § 8.1.3.3. Sono auspicabili trasfusioni con CE RH1/KEL1 compatibili, </w:t>
      </w:r>
    </w:p>
    <w:p w14:paraId="2D68B2D5" w14:textId="77777777" w:rsidR="00EF4BEC" w:rsidRDefault="009E2ACD">
      <w:pPr>
        <w:pStyle w:val="AufzhlungStrich"/>
      </w:pPr>
      <w:r>
        <w:t>in presenza di agglutinine fredde di importanza clinica i prodotti sanguigni dovrebbero essere somministrati a una temperatura di 37 °C utilizzando un apparecchio debitamente testato e previsto a tale scopo,</w:t>
      </w:r>
    </w:p>
    <w:p w14:paraId="24A16F98" w14:textId="38DF5E35" w:rsidR="00EF4BEC" w:rsidRDefault="009E2ACD">
      <w:pPr>
        <w:pStyle w:val="AufzhlungStrich"/>
      </w:pPr>
      <w:r>
        <w:t>in una situazione di emergenza, in cui non si possono attendere i risultati di laboratorio, il medico che svolge la trasfusione deve essere informato del rischio, vedi anche capitolo 9.3. Se noto i CE dovrebbero essere scelti in base al fenotipo RH/KEL1 e, se applicabile, al fenotipo esteso.</w:t>
      </w:r>
    </w:p>
    <w:p w14:paraId="6042E85E" w14:textId="77777777" w:rsidR="00EF4BEC" w:rsidRDefault="009E2ACD" w:rsidP="00B83906">
      <w:pPr>
        <w:pStyle w:val="berschrift2"/>
      </w:pPr>
      <w:bookmarkStart w:id="149" w:name="_Toc161749165"/>
      <w:bookmarkStart w:id="150" w:name="_Toc241314588"/>
      <w:r>
        <w:t>Trasfusioni croniche</w:t>
      </w:r>
      <w:bookmarkEnd w:id="149"/>
      <w:r>
        <w:t xml:space="preserve"> </w:t>
      </w:r>
    </w:p>
    <w:p w14:paraId="01D9494D" w14:textId="77777777" w:rsidR="00EF4BEC" w:rsidRDefault="009E2ACD">
      <w:pPr>
        <w:rPr>
          <w:rFonts w:cs="Arial"/>
          <w:lang w:val="it-IT"/>
        </w:rPr>
      </w:pPr>
      <w:r>
        <w:rPr>
          <w:rFonts w:cs="Arial"/>
          <w:lang w:val="it-IT"/>
        </w:rPr>
        <w:t>Per la scelta dei CE vedi § 8.1.3.3.</w:t>
      </w:r>
    </w:p>
    <w:p w14:paraId="07DDB8B6" w14:textId="77777777" w:rsidR="00EF4BEC" w:rsidRDefault="009E2ACD">
      <w:pPr>
        <w:pStyle w:val="AufzhlungPunkt"/>
      </w:pPr>
      <w:r>
        <w:t xml:space="preserve">Nei pazienti affetti da drepanocitosi si dovrebbe contemplare sempre un TC con ogni CE anche in assenza di anticorpi irregolari. </w:t>
      </w:r>
    </w:p>
    <w:p w14:paraId="6003D843" w14:textId="77777777" w:rsidR="00EF4BEC" w:rsidRDefault="009E2ACD">
      <w:pPr>
        <w:pStyle w:val="AufzhlungPunkt"/>
      </w:pPr>
      <w:r>
        <w:t>Nei pazienti di origine africana sono frequenti delle varianti di RH. Per questo motivo, nei pazienti affetti da drepanocitosi si raccomanda di svolgere un’approfondita analisi di biologia molecolare del genotipo RH. A questo scopo è opportuna una determinazione del genotipo e fenotipo esteso del paziente.</w:t>
      </w:r>
      <w:bookmarkEnd w:id="150"/>
    </w:p>
    <w:p w14:paraId="0E8C7161" w14:textId="77777777" w:rsidR="00EF4BEC" w:rsidRDefault="009E2ACD" w:rsidP="00B83906">
      <w:pPr>
        <w:pStyle w:val="berschrift2"/>
      </w:pPr>
      <w:bookmarkStart w:id="151" w:name="_Toc161749166"/>
      <w:r>
        <w:t>Trasfusione di concentrati eritrocitari irradiati</w:t>
      </w:r>
      <w:bookmarkEnd w:id="151"/>
    </w:p>
    <w:p w14:paraId="3CE641C6" w14:textId="3325E0DE" w:rsidR="00EF4BEC" w:rsidRDefault="009E2ACD">
      <w:pPr>
        <w:pStyle w:val="AufzhlungPunkt"/>
      </w:pPr>
      <w:r>
        <w:t xml:space="preserve">I CE possono essere irradiati fino a 28 giorni dopo la donazione. Un CE irradiato deve essere trasfuso entro 14 giorni, al più tardi entro 28 giorni dalla donazione </w:t>
      </w:r>
    </w:p>
    <w:p w14:paraId="1471B026" w14:textId="77777777" w:rsidR="00EF4BEC" w:rsidRDefault="009E2ACD">
      <w:pPr>
        <w:pStyle w:val="AufzhlungPunkt"/>
      </w:pPr>
      <w:r>
        <w:lastRenderedPageBreak/>
        <w:t>Pazienti con rischio di ipercaliemia: i CE irradiati devono essere trasfusi il più presto possibile, al massimo entro 24 ore dall’irradiazione.</w:t>
      </w:r>
    </w:p>
    <w:p w14:paraId="687F6EAE" w14:textId="77777777" w:rsidR="00EF4BEC" w:rsidRDefault="009E2ACD">
      <w:pPr>
        <w:pStyle w:val="AufzhlungPunkt"/>
      </w:pPr>
      <w:r>
        <w:t>Nelle trasfusioni intrafamiliari (1° e 2° grado) i CE devono essere irradiati.</w:t>
      </w:r>
    </w:p>
    <w:p w14:paraId="20D8C1F7" w14:textId="5E0397A7" w:rsidR="000858C1" w:rsidRDefault="000858C1" w:rsidP="000858C1">
      <w:pPr>
        <w:pStyle w:val="AufzhlungPunkt"/>
      </w:pPr>
      <w:r>
        <w:t>P</w:t>
      </w:r>
      <w:r w:rsidRPr="00EF4827">
        <w:t>er le trasfusioni intrauterine, vedere § 7.4.1.</w:t>
      </w:r>
    </w:p>
    <w:p w14:paraId="7BC5F0FC" w14:textId="6D51F498" w:rsidR="00EF4BEC" w:rsidRDefault="009E2ACD">
      <w:pPr>
        <w:pStyle w:val="AufzhlungPunkt"/>
      </w:pPr>
      <w:r>
        <w:t>Ogni ospedale definisce internamente altre indicazioni.</w:t>
      </w:r>
    </w:p>
    <w:p w14:paraId="73BAE356" w14:textId="7BCEEF98" w:rsidR="00EF4BEC" w:rsidRDefault="009E2ACD" w:rsidP="008B6ADF">
      <w:pPr>
        <w:pStyle w:val="AufzhlungPunkt"/>
        <w:numPr>
          <w:ilvl w:val="0"/>
          <w:numId w:val="0"/>
        </w:numPr>
      </w:pPr>
      <w:r>
        <w:t>In casi eccezionali con l'accordo del medico curante, queste scadenze possono essere derogatei. Per casi eccezionali si intendono situazioni in cui il beneficio della deviazione supera il rischio potenziale di un ritardo trasfusionale. Le eccezioni devono essere ben documentate.</w:t>
      </w:r>
    </w:p>
    <w:p w14:paraId="63B05ABE" w14:textId="77777777" w:rsidR="00EF4BEC" w:rsidRDefault="009E2ACD" w:rsidP="00B83906">
      <w:pPr>
        <w:pStyle w:val="berschrift2"/>
      </w:pPr>
      <w:bookmarkStart w:id="152" w:name="_Toc161749167"/>
      <w:r>
        <w:t>Procedura e scelta dei prodotti sanguigni nel caso di reazione trasfusionale allergica/anafilattica e deficienza da IgA</w:t>
      </w:r>
      <w:bookmarkEnd w:id="152"/>
    </w:p>
    <w:p w14:paraId="7F9618A4" w14:textId="5D5A43EF" w:rsidR="00EF4BEC" w:rsidRDefault="009E2ACD">
      <w:pPr>
        <w:rPr>
          <w:rFonts w:cs="Arial"/>
          <w:lang w:val="it-IT"/>
        </w:rPr>
      </w:pPr>
      <w:r>
        <w:rPr>
          <w:rFonts w:cs="Arial"/>
          <w:lang w:val="it-IT"/>
        </w:rPr>
        <w:t>La correlazione tra la mancanza di IgA (concentrazione nel plasma &lt;70 mg/dl [0,7g/l]) o deficienza di IgA (concentrazione nel plasma &lt;0,05 ml/dl) in pazienti (con o senza anticorpi anti-IgA) e reazioni allergiche o anafilattiche viene discussa in modo controverso nella letteratura</w:t>
      </w:r>
      <w:r w:rsidR="00F26DC4">
        <w:rPr>
          <w:rFonts w:cs="Arial"/>
          <w:lang w:val="it-IT"/>
        </w:rPr>
        <w:t xml:space="preserve"> </w:t>
      </w:r>
      <w:r w:rsidR="00F26DC4">
        <w:rPr>
          <w:rFonts w:cs="Arial"/>
          <w:lang w:val="it-IT"/>
        </w:rPr>
        <w:fldChar w:fldCharType="begin"/>
      </w:r>
      <w:r w:rsidR="00F26DC4">
        <w:rPr>
          <w:rFonts w:cs="Arial"/>
          <w:lang w:val="it-IT"/>
        </w:rPr>
        <w:instrText xml:space="preserve"> ADDIN ZOTERO_ITEM CSL_CITATION {"citationID":"8FLLag32","properties":{"formattedCitation":"[24], [25]","plainCitation":"[24], [25]","noteIndex":0},"citationItems":[{"id":2505,"uris":["http://zotero.org/groups/969572/items/C99F6645"],"uri":["http://zotero.org/groups/969572/items/C99F6645"],"itemData":{"id":2505,"type":"article-journal","container-title":"Transfusion","page":"55:199–204","title":"The entity of immunoglobulin A-related anaphylactic transfusion reactions is not evidence based","author":[{"literal":"Sandler S. G., Eder A. F., Goldman M., and Winters J.L"}],"issued":{"date-parts":[["2015"]]}}},{"id":2504,"uris":["http://zotero.org/groups/969572/items/P3G2AFWT"],"uri":["http://zotero.org/groups/969572/items/P3G2AFWT"],"itemData":{"id":2504,"type":"article-journal","container-title":"Vox Sanguinis","page":"107:389–392","title":"Relative IgA-deficient recipients have an increased risk of severe allergic transfusion reactions","author":[{"literal":"Anani W., Triulizi D., Yazer M.H., and Qu L"}],"issued":{"date-parts":[["2014"]]}}}],"schema":"https://github.com/citation-style-language/schema/raw/master/csl-citation.json"} </w:instrText>
      </w:r>
      <w:r w:rsidR="00F26DC4">
        <w:rPr>
          <w:rFonts w:cs="Arial"/>
          <w:lang w:val="it-IT"/>
        </w:rPr>
        <w:fldChar w:fldCharType="separate"/>
      </w:r>
      <w:r w:rsidR="00F26DC4" w:rsidRPr="00F26DC4">
        <w:rPr>
          <w:rFonts w:cs="Arial"/>
          <w:lang w:val="it-IT"/>
        </w:rPr>
        <w:t>[24], [25]</w:t>
      </w:r>
      <w:r w:rsidR="00F26DC4">
        <w:rPr>
          <w:rFonts w:cs="Arial"/>
          <w:lang w:val="it-IT"/>
        </w:rPr>
        <w:fldChar w:fldCharType="end"/>
      </w:r>
      <w:r>
        <w:rPr>
          <w:rFonts w:cs="Arial"/>
          <w:lang w:val="it-IT"/>
        </w:rPr>
        <w:t>. In uno studio svizzero su 15’000 donatori è stata rilevata una deficienza di IgA con una frequenza di circa 1:850</w:t>
      </w:r>
      <w:r w:rsidR="00F26DC4">
        <w:rPr>
          <w:rFonts w:cs="Arial"/>
          <w:lang w:val="it-IT"/>
        </w:rPr>
        <w:t xml:space="preserve"> </w:t>
      </w:r>
      <w:r w:rsidR="00F26DC4">
        <w:rPr>
          <w:rFonts w:cs="Arial"/>
          <w:lang w:val="it-IT"/>
        </w:rPr>
        <w:fldChar w:fldCharType="begin"/>
      </w:r>
      <w:r w:rsidR="00F26DC4">
        <w:rPr>
          <w:rFonts w:cs="Arial"/>
          <w:lang w:val="it-IT"/>
        </w:rPr>
        <w:instrText xml:space="preserve"> ADDIN ZOTERO_ITEM CSL_CITATION {"citationID":"tpAaDfWD","properties":{"formattedCitation":"[26]","plainCitation":"[26]","noteIndex":0},"citationItems":[{"id":2503,"uris":["http://zotero.org/groups/969572/items/KE34U59V"],"uri":["http://zotero.org/groups/969572/items/KE34U59V"],"itemData":{"id":2503,"type":"article-journal","container-title":"Swiss Medical Forum","page":"9 (Suppl. 46)","title":"Screening of Swiss blood donors for IgA deficiency and its significance for the investigation of anaphylactic transfusion reactions","author":[{"literal":"Hustinx H., Scholl N., Gowland P., Krieg R., Stolz M., Fontana S., Niederhauser C"}],"issued":{"date-parts":[["2009"]]}}}],"schema":"https://github.com/citation-style-language/schema/raw/master/csl-citation.json"} </w:instrText>
      </w:r>
      <w:r w:rsidR="00F26DC4">
        <w:rPr>
          <w:rFonts w:cs="Arial"/>
          <w:lang w:val="it-IT"/>
        </w:rPr>
        <w:fldChar w:fldCharType="separate"/>
      </w:r>
      <w:r w:rsidR="00F26DC4" w:rsidRPr="00F26DC4">
        <w:rPr>
          <w:rFonts w:cs="Arial"/>
        </w:rPr>
        <w:t>[26]</w:t>
      </w:r>
      <w:r w:rsidR="00F26DC4">
        <w:rPr>
          <w:rFonts w:cs="Arial"/>
          <w:lang w:val="it-IT"/>
        </w:rPr>
        <w:fldChar w:fldCharType="end"/>
      </w:r>
      <w:r>
        <w:rPr>
          <w:rFonts w:cs="Arial"/>
          <w:lang w:val="it-IT"/>
        </w:rPr>
        <w:t>.</w:t>
      </w:r>
    </w:p>
    <w:p w14:paraId="142B9F25" w14:textId="34BCE8B1" w:rsidR="000858C1" w:rsidRDefault="009E2ACD" w:rsidP="00F26DC4">
      <w:pPr>
        <w:pStyle w:val="AufzhlungPunkt"/>
      </w:pPr>
      <w:r>
        <w:t>Dopo una reazione trasfusionale allergica/anafilattica grave è raccomandata un’indagine per la ricerca di un’eventuale deficienza da IgA.</w:t>
      </w:r>
    </w:p>
    <w:p w14:paraId="3FF2B2F0" w14:textId="009AE0FF" w:rsidR="000858C1" w:rsidRPr="00AD6C28" w:rsidRDefault="000858C1" w:rsidP="00047D06">
      <w:pPr>
        <w:pStyle w:val="AufzhlungPunkt"/>
        <w:numPr>
          <w:ilvl w:val="0"/>
          <w:numId w:val="0"/>
        </w:numPr>
      </w:pPr>
      <w:r>
        <w:t>I</w:t>
      </w:r>
      <w:r w:rsidRPr="00AD6C28">
        <w:t xml:space="preserve">n base alla prevalenza della carenza di IgA nella popolazione, l'incidenza delle reazioni trasfusionali di ipersensibilità dovrebbe essere maggiore. Ci si aspetterebbe che 1:1000 trasfusioni causino una reazione trasfusionale di ipersensibilità. </w:t>
      </w:r>
    </w:p>
    <w:p w14:paraId="5CC77DDF" w14:textId="77777777" w:rsidR="000858C1" w:rsidRPr="00AD6C28" w:rsidRDefault="000858C1" w:rsidP="00047D06">
      <w:pPr>
        <w:pStyle w:val="AufzhlungPunkt"/>
        <w:numPr>
          <w:ilvl w:val="0"/>
          <w:numId w:val="0"/>
        </w:numPr>
      </w:pPr>
      <w:r w:rsidRPr="00AD6C28">
        <w:t>Uno studio di emovigilanza francese ha mostrato un'incidenza di 1 su 871.911 pazienti esposti.</w:t>
      </w:r>
    </w:p>
    <w:p w14:paraId="6C34C84C" w14:textId="77777777" w:rsidR="000858C1" w:rsidRDefault="000858C1" w:rsidP="00047D06">
      <w:pPr>
        <w:pStyle w:val="AufzhlungPunkt"/>
        <w:numPr>
          <w:ilvl w:val="0"/>
          <w:numId w:val="0"/>
        </w:numPr>
      </w:pPr>
      <w:r w:rsidRPr="00AD6C28">
        <w:t>Le persone con titoli IgA misurabili di solito non sviluppano anticorpi anti-IgA. Inoltre, attualmente è possibile misurare solo gli anti-IgA IgG, ma non ancora gli anti-IgA IgE, che potrebbero essere ugualmente essere all’origine della clinica. Questo potrebbe spiegare la discrepanza tra reazioni effettive e reazioni attese.</w:t>
      </w:r>
    </w:p>
    <w:p w14:paraId="73D0DC80" w14:textId="77777777" w:rsidR="000858C1" w:rsidRDefault="000858C1">
      <w:pPr>
        <w:rPr>
          <w:rFonts w:cs="Arial"/>
          <w:b/>
          <w:lang w:val="it-IT"/>
        </w:rPr>
      </w:pPr>
    </w:p>
    <w:p w14:paraId="6EB5BAAD" w14:textId="46B6F48F" w:rsidR="00EF4BEC" w:rsidRDefault="009E2ACD">
      <w:pPr>
        <w:rPr>
          <w:rFonts w:cs="Arial"/>
          <w:lang w:val="it-IT"/>
        </w:rPr>
      </w:pPr>
      <w:r>
        <w:rPr>
          <w:rFonts w:cs="Arial"/>
          <w:b/>
          <w:lang w:val="it-IT"/>
        </w:rPr>
        <w:t>Attenzione:</w:t>
      </w:r>
      <w:r>
        <w:rPr>
          <w:rFonts w:cs="Arial"/>
          <w:lang w:val="it-IT"/>
        </w:rPr>
        <w:t xml:space="preserve"> il prelievo di sangue per la determinazione del contenuto di IgA deve essere eseguito prima della trasfusione (plasma/CE/CT) e della somministrazione di immunoglobuline. </w:t>
      </w:r>
    </w:p>
    <w:p w14:paraId="4CC77130" w14:textId="2917209C" w:rsidR="00EF4BEC" w:rsidRDefault="000858C1">
      <w:pPr>
        <w:rPr>
          <w:rFonts w:cs="Arial"/>
          <w:lang w:val="it-IT"/>
        </w:rPr>
      </w:pPr>
      <w:r>
        <w:rPr>
          <w:rFonts w:cs="Arial"/>
          <w:lang w:val="it-IT"/>
        </w:rPr>
        <w:t>Il contenuto di IgA nei CE può essere ridotto tramite lavaggi e nei CT tramite deplasmatizzazione del prodotto.</w:t>
      </w:r>
      <w:r w:rsidR="009E2ACD">
        <w:rPr>
          <w:rFonts w:cs="Arial"/>
          <w:lang w:val="it-IT"/>
        </w:rPr>
        <w:t xml:space="preserve">. Nel caso in cui si rilevino gravi reazioni trasfusionali allergiche in combinazione con una deficienza di IgA, come misura preventiva si possono preparare dei CE/CT o plasma ottenuto da donatori noti con deficienza di IgA. In casi eccezionali questi ultimi possono essere richiesti per trasfusioni programmabili in anticipo.  </w:t>
      </w:r>
    </w:p>
    <w:p w14:paraId="1A4E1F79" w14:textId="77777777" w:rsidR="00EF4BEC" w:rsidRDefault="009E2ACD">
      <w:pPr>
        <w:rPr>
          <w:rFonts w:cs="Arial"/>
          <w:lang w:val="it-IT"/>
        </w:rPr>
      </w:pPr>
      <w:r>
        <w:rPr>
          <w:rFonts w:cs="Arial"/>
          <w:lang w:val="it-IT"/>
        </w:rPr>
        <w:t>Questi prodotti speciali devono essere richiesti al proprio Servizio Trasfusionale.</w:t>
      </w:r>
    </w:p>
    <w:p w14:paraId="421A210D" w14:textId="77777777" w:rsidR="00EF4BEC" w:rsidRDefault="009E2ACD" w:rsidP="00B83906">
      <w:pPr>
        <w:pStyle w:val="berschrift2"/>
      </w:pPr>
      <w:bookmarkStart w:id="153" w:name="_Toc161749168"/>
      <w:r>
        <w:t>Procedura e scelta dei prodotti sanguigni nella terapia con anticorpi monoclonali</w:t>
      </w:r>
      <w:bookmarkEnd w:id="153"/>
      <w:r>
        <w:t xml:space="preserve"> </w:t>
      </w:r>
    </w:p>
    <w:p w14:paraId="1F6A1EB3" w14:textId="514BC215" w:rsidR="000858C1" w:rsidRPr="00B1575E" w:rsidRDefault="000858C1" w:rsidP="000858C1">
      <w:pPr>
        <w:rPr>
          <w:rFonts w:cs="Arial"/>
          <w:lang w:val="it-IT"/>
        </w:rPr>
      </w:pPr>
      <w:r w:rsidRPr="00B1575E">
        <w:rPr>
          <w:rFonts w:cs="Arial"/>
          <w:lang w:val="it-IT"/>
        </w:rPr>
        <w:t xml:space="preserve">Gli </w:t>
      </w:r>
      <w:r w:rsidRPr="00047D06">
        <w:rPr>
          <w:rFonts w:cs="Arial"/>
          <w:lang w:val="it-IT"/>
        </w:rPr>
        <w:t>anticorpi monoclonali come gli anti-CD38 o gli anti-CD47</w:t>
      </w:r>
      <w:r w:rsidRPr="00B1575E">
        <w:rPr>
          <w:rFonts w:cs="Arial"/>
          <w:lang w:val="it-IT"/>
        </w:rPr>
        <w:t xml:space="preserve"> sono utilizzati, ad esempio, nel trattamento di malattie emato-oncologiche e autoimmuni.</w:t>
      </w:r>
    </w:p>
    <w:p w14:paraId="22AD6D64" w14:textId="69E00481" w:rsidR="00B1575E" w:rsidRPr="00047D06" w:rsidRDefault="00B1575E" w:rsidP="00B1575E">
      <w:pPr>
        <w:rPr>
          <w:rFonts w:cs="Arial"/>
          <w:lang w:val="it-IT"/>
        </w:rPr>
      </w:pPr>
      <w:r w:rsidRPr="00047D06">
        <w:rPr>
          <w:rFonts w:cs="Arial"/>
          <w:lang w:val="it-IT"/>
        </w:rPr>
        <w:t xml:space="preserve">Prima di iniziare la terapia con anticorpi monoclonali, devono essere disponibili almeno due determinazioni valide del gruppo sanguigno e un test di screening degli anticorpi valido. È inoltre consigliabile effettuare un fenotipo esteso o una genotipizzazione prima di iniziare la terapia. Questa procedura è necessaria per poter trasfondere i pazienti in situazioni in cui gli anticorpi di importanza clinica non possono essere esclusi con assoluta certezza (inibizione insufficiente degli anticorpi monoclonali interferenti). Questo dovrebbe permettere di evitare di ritardare la trasfusione del paziente. </w:t>
      </w:r>
    </w:p>
    <w:p w14:paraId="7F72BD1F" w14:textId="48C29225" w:rsidR="00EF4BEC" w:rsidRDefault="00B1575E">
      <w:pPr>
        <w:rPr>
          <w:rFonts w:cs="Arial"/>
          <w:lang w:val="it-IT"/>
        </w:rPr>
      </w:pPr>
      <w:r w:rsidRPr="00047D06">
        <w:rPr>
          <w:rFonts w:cs="Arial"/>
          <w:lang w:val="it-IT"/>
        </w:rPr>
        <w:t>Nel caso degli anti-CD38, la determinazione del gruppo sanguigno può essere effettuata anche dopo l'inizio della terapia</w:t>
      </w:r>
      <w:r>
        <w:rPr>
          <w:rFonts w:cs="Arial"/>
          <w:lang w:val="it-IT"/>
        </w:rPr>
        <w:t>.</w:t>
      </w:r>
      <w:r w:rsidRPr="00B1575E">
        <w:rPr>
          <w:rFonts w:cs="Arial"/>
          <w:lang w:val="it-IT"/>
        </w:rPr>
        <w:t xml:space="preserve"> </w:t>
      </w:r>
      <w:r w:rsidR="009E2ACD" w:rsidRPr="00B1575E">
        <w:rPr>
          <w:rFonts w:cs="Arial"/>
          <w:lang w:val="it-IT"/>
        </w:rPr>
        <w:t>L’anti-CD38 può causare un risultato positivo della RAI fino a 6 mesi dopo la fine</w:t>
      </w:r>
      <w:r w:rsidR="009E2ACD">
        <w:rPr>
          <w:rFonts w:cs="Arial"/>
          <w:lang w:val="it-IT"/>
        </w:rPr>
        <w:t xml:space="preserve"> del trattamento. Questo perché anche gli eritrociti esprimono debolmente il CD38. La forza delle reazioni delle cellule test trattate con papaina e tripsina sono tra deboli e negative.</w:t>
      </w:r>
    </w:p>
    <w:p w14:paraId="6FCE4073" w14:textId="77777777" w:rsidR="00EF4BEC" w:rsidRDefault="009E2ACD">
      <w:pPr>
        <w:rPr>
          <w:rFonts w:cs="Arial"/>
          <w:lang w:val="it-IT"/>
        </w:rPr>
      </w:pPr>
      <w:r>
        <w:rPr>
          <w:rFonts w:cs="Arial"/>
          <w:lang w:val="it-IT"/>
        </w:rPr>
        <w:lastRenderedPageBreak/>
        <w:t>Prima dell’inizio della terapia con anticorpi monoclonali come anti-CD38, si deve eseguire una ricerca anticorpi. Si raccomanda inoltre di eseguire una tipizzazione antigenica estesa o una genotipizzazione.</w:t>
      </w:r>
    </w:p>
    <w:p w14:paraId="568B7516" w14:textId="77777777" w:rsidR="00EF4BEC" w:rsidRDefault="009E2ACD">
      <w:pPr>
        <w:pStyle w:val="AufzhlungPunkt"/>
      </w:pPr>
      <w:r>
        <w:t xml:space="preserve">In caso di invio del campione in un laboratorio di riferimento, la diagnosi e il medicamento devono essere indicati sulla richiesta. </w:t>
      </w:r>
    </w:p>
    <w:p w14:paraId="3F17A9D4" w14:textId="12EED4F4" w:rsidR="00EF4BEC" w:rsidRDefault="009E2ACD">
      <w:pPr>
        <w:pStyle w:val="AufzhlungPunkt"/>
      </w:pPr>
      <w:r>
        <w:t>Se la ricerca anticorpi realizzata mediante un metodo adeguato (ad es. provetta o DTT, tripsina o procedure alternative per inibire l'interferenza) è negativa possono essere liberati CE (compatibili con ABO / RH1 / RH/KEL1 / KEL3 [Kp</w:t>
      </w:r>
      <w:r>
        <w:rPr>
          <w:vertAlign w:val="superscript"/>
        </w:rPr>
        <w:t>a</w:t>
      </w:r>
      <w:r>
        <w:t>]) secondo la regola del T&amp;S</w:t>
      </w:r>
    </w:p>
    <w:p w14:paraId="09DB05E2" w14:textId="2A845CA3" w:rsidR="00EF4BEC" w:rsidRDefault="009E2ACD">
      <w:pPr>
        <w:pStyle w:val="AufzhlungPunkt"/>
      </w:pPr>
      <w:r>
        <w:t>Alternativamente si possono trasfondere CE compatibili con il fenotipo o genotipo (RH1, KEL1, KEL3 [Kp</w:t>
      </w:r>
      <w:r>
        <w:rPr>
          <w:vertAlign w:val="superscript"/>
        </w:rPr>
        <w:t>a</w:t>
      </w:r>
      <w:r>
        <w:t>], JK [Jk], FY [Fy], MNS3 [S] e MNS4 [s]), secondo la regola del T&amp;S senza dover procedere con l’identificazione degli anticorpi.</w:t>
      </w:r>
    </w:p>
    <w:p w14:paraId="327D56BD" w14:textId="77777777" w:rsidR="00EF4BEC" w:rsidRDefault="009E2ACD" w:rsidP="00B83906">
      <w:pPr>
        <w:pStyle w:val="berschrift2"/>
      </w:pPr>
      <w:bookmarkStart w:id="154" w:name="_Toc161749169"/>
      <w:r>
        <w:t>Trapianti</w:t>
      </w:r>
      <w:bookmarkEnd w:id="154"/>
    </w:p>
    <w:p w14:paraId="0D756DE0" w14:textId="77777777" w:rsidR="00EF4BEC" w:rsidRDefault="009E2ACD" w:rsidP="00B83906">
      <w:pPr>
        <w:pStyle w:val="berschrift3"/>
      </w:pPr>
      <w:bookmarkStart w:id="155" w:name="_Toc161749170"/>
      <w:r>
        <w:t>Trapianti di organi</w:t>
      </w:r>
      <w:bookmarkEnd w:id="155"/>
    </w:p>
    <w:p w14:paraId="6D04DC5A" w14:textId="77777777" w:rsidR="00EF4BEC" w:rsidRDefault="009E2ACD">
      <w:pPr>
        <w:rPr>
          <w:rFonts w:cs="Arial"/>
          <w:lang w:val="it-IT"/>
        </w:rPr>
      </w:pPr>
      <w:r>
        <w:rPr>
          <w:rFonts w:cs="Arial"/>
          <w:lang w:val="it-IT"/>
        </w:rPr>
        <w:t xml:space="preserve">In caso di trapianto di organo ABO incompatibile (incompatibilità maggiore) il gruppo ABO del plasma deve essere compatibile con il ricevente e con l’organo. </w:t>
      </w:r>
    </w:p>
    <w:p w14:paraId="6E864873" w14:textId="77777777" w:rsidR="00EF4BEC" w:rsidRDefault="009E2ACD">
      <w:pPr>
        <w:rPr>
          <w:rFonts w:cs="Arial"/>
          <w:lang w:val="it-IT"/>
        </w:rPr>
      </w:pPr>
      <w:r>
        <w:rPr>
          <w:rFonts w:cs="Arial"/>
          <w:lang w:val="it-IT"/>
        </w:rPr>
        <w:t xml:space="preserve">Gli alloanticorpi prodotti dai linfociti passeggeri (provenienti dall’organo trapiantato) devono essere presi in considerazione nella trasfusione finché sono evidenziabili. </w:t>
      </w:r>
    </w:p>
    <w:p w14:paraId="30966960" w14:textId="77777777" w:rsidR="00EF4BEC" w:rsidRDefault="009E2ACD" w:rsidP="00B83906">
      <w:pPr>
        <w:pStyle w:val="berschrift3"/>
      </w:pPr>
      <w:bookmarkStart w:id="156" w:name="_Toc161749171"/>
      <w:r>
        <w:t>Trapianto di cellule staminali allogeniche (donatore diverso dal ricevente)</w:t>
      </w:r>
      <w:bookmarkEnd w:id="156"/>
      <w:r>
        <w:t xml:space="preserve"> </w:t>
      </w:r>
    </w:p>
    <w:p w14:paraId="15555C9F" w14:textId="77777777" w:rsidR="00EF4BEC" w:rsidRDefault="009E2ACD">
      <w:pPr>
        <w:rPr>
          <w:rFonts w:cs="Arial"/>
          <w:lang w:val="it-IT"/>
        </w:rPr>
      </w:pPr>
      <w:r>
        <w:rPr>
          <w:rFonts w:cs="Arial"/>
          <w:lang w:val="it-IT"/>
        </w:rPr>
        <w:t>Per la trasfusione sono necessarie le seguenti informazioni:</w:t>
      </w:r>
    </w:p>
    <w:p w14:paraId="06CF03F3" w14:textId="3CC57FBA" w:rsidR="00EF4BEC" w:rsidRDefault="009E2ACD">
      <w:pPr>
        <w:pStyle w:val="AufzhlungPunkt"/>
      </w:pPr>
      <w:r>
        <w:t xml:space="preserve">come minimo fenotipo ABO/RH1 e RH/KEL1 del donatore / dei donatori, </w:t>
      </w:r>
    </w:p>
    <w:p w14:paraId="4ED73FFE" w14:textId="77777777" w:rsidR="00EF4BEC" w:rsidRDefault="009E2ACD">
      <w:pPr>
        <w:pStyle w:val="AufzhlungPunkt"/>
      </w:pPr>
      <w:r>
        <w:t xml:space="preserve">data del trapianto, </w:t>
      </w:r>
    </w:p>
    <w:p w14:paraId="32BECE63" w14:textId="77777777" w:rsidR="00EF4BEC" w:rsidRDefault="009E2ACD">
      <w:pPr>
        <w:pStyle w:val="AufzhlungPunkt"/>
      </w:pPr>
      <w:r>
        <w:t xml:space="preserve">centro trapianti, </w:t>
      </w:r>
    </w:p>
    <w:p w14:paraId="5D008102" w14:textId="48D5D4F9" w:rsidR="00EF4BEC" w:rsidRDefault="009E2ACD">
      <w:pPr>
        <w:pStyle w:val="AufzhlungPunkt"/>
      </w:pPr>
      <w:r>
        <w:t>gruppo sanguigno del ricevente (ABO / fenotipo RH1 e RH/KEL1) e anamnesi delle trasfusioni degli ultimi 4 mesi.</w:t>
      </w:r>
    </w:p>
    <w:p w14:paraId="776209C8" w14:textId="605E3E10" w:rsidR="00EF4BEC" w:rsidRDefault="009E2ACD">
      <w:pPr>
        <w:pStyle w:val="AufzhlungPunkt"/>
      </w:pPr>
      <w:r>
        <w:t>Se il DAT è positivo dopo un HSCT ABO incompatibile, è necessario aggiungere  una cellula test A o B con l'eluato.</w:t>
      </w:r>
    </w:p>
    <w:p w14:paraId="071E389E" w14:textId="77777777" w:rsidR="00EF4BEC" w:rsidRDefault="009E2ACD">
      <w:pPr>
        <w:rPr>
          <w:rFonts w:cs="Arial"/>
          <w:lang w:val="it-IT"/>
        </w:rPr>
      </w:pPr>
      <w:r>
        <w:rPr>
          <w:rFonts w:cs="Arial"/>
          <w:lang w:val="it-IT"/>
        </w:rPr>
        <w:t>In mancanza di queste informazioni si devono trasfondere CE irradiati del gruppo O e plasma AB.</w:t>
      </w:r>
    </w:p>
    <w:p w14:paraId="2D6EBBB9" w14:textId="77777777" w:rsidR="00EF4BEC" w:rsidRDefault="009E2ACD">
      <w:pPr>
        <w:rPr>
          <w:rFonts w:cs="Arial"/>
          <w:lang w:val="it-IT"/>
        </w:rPr>
      </w:pPr>
      <w:r>
        <w:rPr>
          <w:rFonts w:cs="Arial"/>
          <w:lang w:val="it-IT"/>
        </w:rPr>
        <w:t xml:space="preserve">La cinetica (scomparsa e comparsa) di isoagglutinine anti-A/B varia molto da soggetto a soggetto. Una ricomparsa di isoagglutinine incompatibili anti-A/B è possibile in caso di recidiva/rigetto dell’organo trapiantato. </w:t>
      </w:r>
    </w:p>
    <w:p w14:paraId="0C247623" w14:textId="77777777" w:rsidR="00EF4BEC" w:rsidRDefault="009E2ACD">
      <w:pPr>
        <w:rPr>
          <w:lang w:val="it-IT"/>
        </w:rPr>
      </w:pPr>
      <w:r>
        <w:rPr>
          <w:lang w:val="it-IT"/>
        </w:rPr>
        <w:t>È importante seguire le raccomandazioni trasfusionali del centro trapianti.</w:t>
      </w:r>
    </w:p>
    <w:p w14:paraId="6DD4CC97" w14:textId="77777777" w:rsidR="00EF4BEC" w:rsidRDefault="009E2ACD" w:rsidP="00B83906">
      <w:pPr>
        <w:pStyle w:val="berschrift2"/>
      </w:pPr>
      <w:bookmarkStart w:id="157" w:name="_Toc161749172"/>
      <w:r>
        <w:t>Drepanocitosi</w:t>
      </w:r>
      <w:bookmarkEnd w:id="157"/>
    </w:p>
    <w:p w14:paraId="17B9BFAF" w14:textId="77777777" w:rsidR="00EF4BEC" w:rsidRDefault="009E2ACD">
      <w:pPr>
        <w:jc w:val="both"/>
        <w:rPr>
          <w:lang w:val="it-IT"/>
        </w:rPr>
      </w:pPr>
      <w:r>
        <w:rPr>
          <w:lang w:val="it-IT"/>
        </w:rPr>
        <w:t>Questa situazione clinica può interessare tutti i pazienti con il fenotipo omozigote HbSS, eterozigote composto HbS-β talassemia (HbS-β+ o HbS-β° talassemia), HbSC, HbS OArab, HbS Lepore, HbSD e HbSE. A seconda della forma e delle caratteristiche cliniche possono essere necessarie delle trasfusioni. L’approvvigionamento di sangue per questi pazienti rappresenta una sfida dal punto di vista immunoematologico per tre motivi:</w:t>
      </w:r>
    </w:p>
    <w:p w14:paraId="4BFB55BE" w14:textId="77777777" w:rsidR="00EF4BEC" w:rsidRDefault="009E2ACD" w:rsidP="008B6ADF">
      <w:pPr>
        <w:pStyle w:val="AufzhlungPunkt"/>
      </w:pPr>
      <w:r>
        <w:t xml:space="preserve">Vi è un’ampia varietà genetica tra i pazienti (di origine africana) e la popolazione di donatori. </w:t>
      </w:r>
    </w:p>
    <w:p w14:paraId="04154A92" w14:textId="77777777" w:rsidR="00EF4BEC" w:rsidRDefault="009E2ACD" w:rsidP="008B6ADF">
      <w:pPr>
        <w:pStyle w:val="AufzhlungPunkt"/>
      </w:pPr>
      <w:r>
        <w:t>Aumenta la probabilità di alloimmunizzazione e di reazioni immuno-emolitiche acute.</w:t>
      </w:r>
    </w:p>
    <w:p w14:paraId="3FDA6FC6" w14:textId="659199B8" w:rsidR="00EF4BEC" w:rsidRDefault="009E2ACD" w:rsidP="008B6ADF">
      <w:pPr>
        <w:pStyle w:val="AufzhlungPunkt"/>
      </w:pPr>
      <w:r>
        <w:t xml:space="preserve">Le varianti </w:t>
      </w:r>
      <w:r>
        <w:rPr>
          <w:i/>
        </w:rPr>
        <w:t>RHD</w:t>
      </w:r>
      <w:r>
        <w:t xml:space="preserve"> e </w:t>
      </w:r>
      <w:r>
        <w:rPr>
          <w:i/>
        </w:rPr>
        <w:t>RHCE</w:t>
      </w:r>
      <w:r>
        <w:t xml:space="preserve"> sono più frequenti rispetto alla popolazione caucasica</w:t>
      </w:r>
      <w:r w:rsidR="00F26DC4">
        <w:t xml:space="preserve"> </w:t>
      </w:r>
      <w:r w:rsidR="00F26DC4">
        <w:fldChar w:fldCharType="begin"/>
      </w:r>
      <w:r w:rsidR="00F26DC4">
        <w:instrText xml:space="preserve"> ADDIN ZOTERO_ITEM CSL_CITATION {"citationID":"lbnWfcTE","properties":{"formattedCitation":"[27], [28]","plainCitation":"[27], [28]","noteIndex":0},"citationItems":[{"id":2486,"uris":["http://zotero.org/groups/969572/items/GP4IKL5A"],"uri":["http://zotero.org/groups/969572/items/GP4IKL5A"],"itemData":{"id":2486,"type":"article-journal","container-title":"Blood Adv","page":"4:327-55","title":"American Society of Hematology 2020 guidelines for sickle cell disease: transfusion support","author":[{"literal":"Chou ST, Alsawas M, Fasano RM, et al."}],"issued":{"date-parts":[["2020"]]}}},{"id":2487,"uris":["http://zotero.org/groups/969572/items/MK5HH2VR"],"uri":["http://zotero.org/groups/969572/items/MK5HH2VR"],"itemData":{"id":2487,"type":"article-journal","container-title":"Haematologica","page":"106:1805-15","title":"Red cell transfusion and alloimmunization in sickle cell disease","author":[{"literal":"Linder GE, Chou ST"}],"issued":{"date-parts":[["2021"]]}}}],"schema":"https://github.com/citation-style-language/schema/raw/master/csl-citation.json"} </w:instrText>
      </w:r>
      <w:r w:rsidR="00F26DC4">
        <w:fldChar w:fldCharType="separate"/>
      </w:r>
      <w:r w:rsidR="00F26DC4" w:rsidRPr="00F26DC4">
        <w:t>[27], [28]</w:t>
      </w:r>
      <w:r w:rsidR="00F26DC4">
        <w:fldChar w:fldCharType="end"/>
      </w:r>
      <w:r>
        <w:t>.</w:t>
      </w:r>
    </w:p>
    <w:p w14:paraId="39FEC344" w14:textId="77777777" w:rsidR="00EF4BEC" w:rsidRDefault="009E2ACD">
      <w:pPr>
        <w:jc w:val="both"/>
        <w:rPr>
          <w:lang w:val="it-IT"/>
        </w:rPr>
      </w:pPr>
      <w:r>
        <w:rPr>
          <w:lang w:val="it-IT"/>
        </w:rPr>
        <w:t xml:space="preserve">Valgono pertanto le seguenti raccomandazioni: </w:t>
      </w:r>
    </w:p>
    <w:p w14:paraId="7D95D45A" w14:textId="77777777" w:rsidR="00EF4BEC" w:rsidRDefault="009E2ACD" w:rsidP="008B6ADF">
      <w:pPr>
        <w:pStyle w:val="AufzhlungPunkt"/>
      </w:pPr>
      <w:r w:rsidRPr="009E2ACD">
        <w:t>Per</w:t>
      </w:r>
      <w:r>
        <w:t xml:space="preserve"> ottimizzare la cura del paziente è necessario ottenere i risultati dei precedenti esami pre-trasfusionali e l’anamnesi trasfusionale.</w:t>
      </w:r>
    </w:p>
    <w:p w14:paraId="780079ED" w14:textId="77777777" w:rsidR="00EF4BEC" w:rsidRDefault="009E2ACD" w:rsidP="008B6ADF">
      <w:pPr>
        <w:pStyle w:val="AufzhlungPunkt"/>
      </w:pPr>
      <w:r w:rsidRPr="009E2ACD">
        <w:t>Se non sono disponibili dati precedenti sul fenotipo/genotipo, occorre eseguire i seguenti test:</w:t>
      </w:r>
    </w:p>
    <w:p w14:paraId="45527567" w14:textId="08F10B8D" w:rsidR="00EF4BEC" w:rsidRPr="00C5442F" w:rsidRDefault="009E2ACD" w:rsidP="008B6ADF">
      <w:pPr>
        <w:pStyle w:val="AufzhlungPunkt"/>
      </w:pPr>
      <w:r w:rsidRPr="009E2ACD">
        <w:t>Fenotipo esteso: RH1, RH2, RH3, RH4, RH5, KEL1, KEL2, JK1, JK2, FY1, FY2, MNS1, MNS2, MNS3 e MNS4 (</w:t>
      </w:r>
      <w:r w:rsidR="00C71882">
        <w:t>Rh</w:t>
      </w:r>
      <w:r w:rsidRPr="009E2ACD">
        <w:t xml:space="preserve">D, C, E, </w:t>
      </w:r>
      <w:r w:rsidR="00C71882">
        <w:t xml:space="preserve">c, </w:t>
      </w:r>
      <w:r w:rsidRPr="009E2ACD">
        <w:t>e, K, k, Jk</w:t>
      </w:r>
      <w:r w:rsidRPr="008B6ADF">
        <w:rPr>
          <w:vertAlign w:val="superscript"/>
        </w:rPr>
        <w:t>a</w:t>
      </w:r>
      <w:r w:rsidRPr="009E2ACD">
        <w:t>, Jk</w:t>
      </w:r>
      <w:r w:rsidRPr="008B6ADF">
        <w:rPr>
          <w:vertAlign w:val="superscript"/>
        </w:rPr>
        <w:t>b</w:t>
      </w:r>
      <w:r w:rsidRPr="009E2ACD">
        <w:t>, Fy</w:t>
      </w:r>
      <w:r w:rsidRPr="008B6ADF">
        <w:rPr>
          <w:vertAlign w:val="superscript"/>
        </w:rPr>
        <w:t>a</w:t>
      </w:r>
      <w:r w:rsidRPr="009E2ACD">
        <w:t>, Fy</w:t>
      </w:r>
      <w:r w:rsidRPr="008B6ADF">
        <w:rPr>
          <w:vertAlign w:val="superscript"/>
        </w:rPr>
        <w:t>b</w:t>
      </w:r>
      <w:r w:rsidRPr="00C5442F">
        <w:t>, M, N, S e s), se non sono state eseguite trasfusioni negli ultimi 4 mesi.</w:t>
      </w:r>
    </w:p>
    <w:p w14:paraId="076ED773" w14:textId="77777777" w:rsidR="00EF4BEC" w:rsidRPr="00F0441B" w:rsidRDefault="009E2ACD" w:rsidP="008B6ADF">
      <w:pPr>
        <w:pStyle w:val="AufzhlungPunkt"/>
        <w:rPr>
          <w:i/>
        </w:rPr>
      </w:pPr>
      <w:r w:rsidRPr="003E3DE4">
        <w:t xml:space="preserve">Genotipo esteso: </w:t>
      </w:r>
      <w:r w:rsidRPr="003E3DE4">
        <w:rPr>
          <w:i/>
        </w:rPr>
        <w:t>KEL*01.01, KEL*02, JK*01, JK*02, FY*01, FY*02, FY*02.N.01, GYPA*01, GYPA*02, GYPB*03</w:t>
      </w:r>
      <w:r w:rsidRPr="003F7E08">
        <w:t xml:space="preserve"> e</w:t>
      </w:r>
      <w:r w:rsidRPr="00804081">
        <w:rPr>
          <w:i/>
        </w:rPr>
        <w:t xml:space="preserve"> GYPB*04.</w:t>
      </w:r>
    </w:p>
    <w:p w14:paraId="424C00E3" w14:textId="77777777" w:rsidR="00EF4BEC" w:rsidRPr="008B6ADF" w:rsidRDefault="009E2ACD" w:rsidP="00047D06">
      <w:pPr>
        <w:ind w:left="709"/>
        <w:jc w:val="both"/>
        <w:rPr>
          <w:lang w:val="it-IT"/>
        </w:rPr>
      </w:pPr>
      <w:r>
        <w:rPr>
          <w:lang w:val="it-IT"/>
        </w:rPr>
        <w:lastRenderedPageBreak/>
        <w:t>Eventualmente il genotipo può essere esteso agli alleli</w:t>
      </w:r>
      <w:r>
        <w:rPr>
          <w:color w:val="FF0000"/>
          <w:lang w:val="it-IT"/>
        </w:rPr>
        <w:t xml:space="preserve"> </w:t>
      </w:r>
      <w:r>
        <w:rPr>
          <w:i/>
          <w:lang w:val="it-IT"/>
        </w:rPr>
        <w:t>DO*01</w:t>
      </w:r>
      <w:r>
        <w:rPr>
          <w:lang w:val="it-IT"/>
        </w:rPr>
        <w:t>,</w:t>
      </w:r>
      <w:r>
        <w:rPr>
          <w:i/>
          <w:lang w:val="it-IT"/>
        </w:rPr>
        <w:t xml:space="preserve"> DO*02</w:t>
      </w:r>
      <w:r>
        <w:rPr>
          <w:lang w:val="it-IT"/>
        </w:rPr>
        <w:t xml:space="preserve">, </w:t>
      </w:r>
      <w:r>
        <w:rPr>
          <w:i/>
          <w:lang w:val="it-IT"/>
        </w:rPr>
        <w:t>KEL*02.03</w:t>
      </w:r>
      <w:r>
        <w:rPr>
          <w:lang w:val="it-IT"/>
        </w:rPr>
        <w:t>,</w:t>
      </w:r>
      <w:r>
        <w:rPr>
          <w:i/>
          <w:lang w:val="it-IT"/>
        </w:rPr>
        <w:t xml:space="preserve"> KEL*02 </w:t>
      </w:r>
      <w:r>
        <w:rPr>
          <w:lang w:val="it-IT"/>
        </w:rPr>
        <w:t xml:space="preserve">(c.841C, c.1790T), </w:t>
      </w:r>
      <w:r>
        <w:rPr>
          <w:i/>
          <w:lang w:val="it-IT"/>
        </w:rPr>
        <w:t>KEL*02.06</w:t>
      </w:r>
      <w:r>
        <w:rPr>
          <w:lang w:val="it-IT"/>
        </w:rPr>
        <w:t xml:space="preserve"> (Do</w:t>
      </w:r>
      <w:r>
        <w:rPr>
          <w:vertAlign w:val="superscript"/>
          <w:lang w:val="it-IT"/>
        </w:rPr>
        <w:t>a</w:t>
      </w:r>
      <w:r>
        <w:rPr>
          <w:lang w:val="it-IT"/>
        </w:rPr>
        <w:t>, Do</w:t>
      </w:r>
      <w:r>
        <w:rPr>
          <w:vertAlign w:val="superscript"/>
          <w:lang w:val="it-IT"/>
        </w:rPr>
        <w:t>b</w:t>
      </w:r>
      <w:r>
        <w:rPr>
          <w:lang w:val="it-IT"/>
        </w:rPr>
        <w:t>, Kp</w:t>
      </w:r>
      <w:r>
        <w:rPr>
          <w:vertAlign w:val="superscript"/>
          <w:lang w:val="it-IT"/>
        </w:rPr>
        <w:t>a</w:t>
      </w:r>
      <w:r>
        <w:rPr>
          <w:lang w:val="it-IT"/>
        </w:rPr>
        <w:t>, Kp</w:t>
      </w:r>
      <w:r>
        <w:rPr>
          <w:vertAlign w:val="superscript"/>
          <w:lang w:val="it-IT"/>
        </w:rPr>
        <w:t>b</w:t>
      </w:r>
      <w:r>
        <w:rPr>
          <w:lang w:val="it-IT"/>
        </w:rPr>
        <w:t>, Js</w:t>
      </w:r>
      <w:r>
        <w:rPr>
          <w:vertAlign w:val="superscript"/>
          <w:lang w:val="it-IT"/>
        </w:rPr>
        <w:t>a</w:t>
      </w:r>
      <w:r>
        <w:rPr>
          <w:lang w:val="it-IT"/>
        </w:rPr>
        <w:t xml:space="preserve"> e Js</w:t>
      </w:r>
      <w:r>
        <w:rPr>
          <w:vertAlign w:val="superscript"/>
          <w:lang w:val="it-IT"/>
        </w:rPr>
        <w:t>b</w:t>
      </w:r>
      <w:r>
        <w:rPr>
          <w:lang w:val="it-IT"/>
        </w:rPr>
        <w:t>).</w:t>
      </w:r>
    </w:p>
    <w:p w14:paraId="78CAE173" w14:textId="77777777" w:rsidR="00EF4BEC" w:rsidRDefault="009E2ACD" w:rsidP="00047D06">
      <w:pPr>
        <w:ind w:left="709"/>
        <w:jc w:val="both"/>
        <w:rPr>
          <w:lang w:val="it-IT"/>
        </w:rPr>
      </w:pPr>
      <w:r>
        <w:rPr>
          <w:lang w:val="it-IT"/>
        </w:rPr>
        <w:t xml:space="preserve">Inoltre vanno verificate le varianti più frequenti e significative dei geni </w:t>
      </w:r>
      <w:r>
        <w:rPr>
          <w:i/>
          <w:lang w:val="it-IT"/>
        </w:rPr>
        <w:t>RHD</w:t>
      </w:r>
      <w:r>
        <w:rPr>
          <w:lang w:val="it-IT"/>
        </w:rPr>
        <w:t xml:space="preserve"> e </w:t>
      </w:r>
      <w:r>
        <w:rPr>
          <w:i/>
          <w:lang w:val="it-IT"/>
        </w:rPr>
        <w:t>RHCE</w:t>
      </w:r>
      <w:r>
        <w:rPr>
          <w:lang w:val="it-IT"/>
        </w:rPr>
        <w:t>. Il genotipo esteso va investigato anche se il fenotipo esteso è già noto.</w:t>
      </w:r>
    </w:p>
    <w:p w14:paraId="1A37E294" w14:textId="56A19D69" w:rsidR="00EF4BEC" w:rsidRPr="00C5442F" w:rsidRDefault="009E2ACD" w:rsidP="008B6ADF">
      <w:pPr>
        <w:pStyle w:val="AufzhlungPunkt"/>
      </w:pPr>
      <w:r w:rsidRPr="009E2ACD">
        <w:t>Nel ca</w:t>
      </w:r>
      <w:r w:rsidRPr="00C5442F">
        <w:t xml:space="preserve">so in cui un paziente abbia ricevuto una trasfusione di oltre 12 unità di CE senza la formazione di alloanticorpi o autoanticorpi si può valutare la possibilità di rinunciare ad analisi più approfondite dei geni </w:t>
      </w:r>
      <w:r w:rsidRPr="00C5442F">
        <w:rPr>
          <w:i/>
        </w:rPr>
        <w:t>RHD</w:t>
      </w:r>
      <w:r w:rsidRPr="00C5442F">
        <w:t xml:space="preserve"> e </w:t>
      </w:r>
      <w:r w:rsidRPr="003E3DE4">
        <w:rPr>
          <w:i/>
        </w:rPr>
        <w:t>RHCE</w:t>
      </w:r>
      <w:r w:rsidR="00F26DC4">
        <w:rPr>
          <w:i/>
        </w:rPr>
        <w:t xml:space="preserve"> </w:t>
      </w:r>
      <w:r w:rsidR="00F26DC4">
        <w:rPr>
          <w:i/>
        </w:rPr>
        <w:fldChar w:fldCharType="begin"/>
      </w:r>
      <w:r w:rsidR="00F26DC4">
        <w:rPr>
          <w:i/>
        </w:rPr>
        <w:instrText xml:space="preserve"> ADDIN ZOTERO_ITEM CSL_CITATION {"citationID":"ILXfysjx","properties":{"formattedCitation":"[29]","plainCitation":"[29]","noteIndex":0},"citationItems":[{"id":2489,"uris":["http://zotero.org/groups/969572/items/RFTELRUE"],"uri":["http://zotero.org/groups/969572/items/RFTELRUE"],"itemData":{"id":2489,"type":"article-journal","container-title":"American Journal of Hematology","page":"92:1340–1348","title":"Incidence and predictive score for delayed hemolytic transfusion reaction in adult patients with sickle cell disease","author":[{"literal":"Narbey D, Habibi A, Chadebech P et al."}],"issued":{"date-parts":[["2017"]]}}}],"schema":"https://github.com/citation-style-language/schema/raw/master/csl-citation.json"} </w:instrText>
      </w:r>
      <w:r w:rsidR="00F26DC4">
        <w:rPr>
          <w:i/>
        </w:rPr>
        <w:fldChar w:fldCharType="separate"/>
      </w:r>
      <w:r w:rsidR="00F26DC4" w:rsidRPr="00F26DC4">
        <w:t>[29]</w:t>
      </w:r>
      <w:r w:rsidR="00F26DC4">
        <w:rPr>
          <w:i/>
        </w:rPr>
        <w:fldChar w:fldCharType="end"/>
      </w:r>
      <w:r w:rsidR="00F26DC4">
        <w:rPr>
          <w:i/>
        </w:rPr>
        <w:t>.</w:t>
      </w:r>
    </w:p>
    <w:p w14:paraId="6CFC0D85" w14:textId="77777777" w:rsidR="00EF4BEC" w:rsidRPr="008B6ADF" w:rsidRDefault="009E2ACD" w:rsidP="008B6ADF">
      <w:pPr>
        <w:pStyle w:val="AufzhlungPunkt"/>
      </w:pPr>
      <w:r w:rsidRPr="00C5442F">
        <w:t>L’identificazione degli anticorpi va eseguita con un approccio enzimatico (p. es. papaina) oltre all’IAT.</w:t>
      </w:r>
      <w:r>
        <w:t xml:space="preserve"> </w:t>
      </w:r>
      <w:r w:rsidRPr="009E2ACD">
        <w:t>In particolare, se si verifica una crisi vaso-occlusiva dopo la trasfusione, se l’aumento dell’emoglobina è insufficiente o se si sospetta una reazion</w:t>
      </w:r>
      <w:r w:rsidRPr="00C5442F">
        <w:t>e trasfusionale, l’alloimmunizzazione deve essere esclusa come causa. A questo scopo occorre effettuare test aggiuntivi come l’eluizione nonostante il DAT negativo o il TC con l’eluato.</w:t>
      </w:r>
    </w:p>
    <w:p w14:paraId="1C9FABA4" w14:textId="77777777" w:rsidR="00EF4BEC" w:rsidRPr="00C5442F" w:rsidRDefault="009E2ACD" w:rsidP="008B6ADF">
      <w:pPr>
        <w:pStyle w:val="AufzhlungPunkt"/>
      </w:pPr>
      <w:r w:rsidRPr="009E2ACD">
        <w:t>Alcuni alloanticorpi che nella maggior parte dei casi sarebbero trascu</w:t>
      </w:r>
      <w:r w:rsidRPr="00C5442F">
        <w:t>rabili nella medicina trasfusionale (v. tabella 8.1.3.2) vanno monitorati da vicino nei pazienti affetti da drepanocitosi (p. es. LE1 in papaina), anche se non sono più rilevabili.</w:t>
      </w:r>
    </w:p>
    <w:p w14:paraId="34888407" w14:textId="65F3592B" w:rsidR="00EF4BEC" w:rsidRPr="009E2ACD" w:rsidRDefault="009E2ACD" w:rsidP="008B6ADF">
      <w:pPr>
        <w:pStyle w:val="AufzhlungPunkt"/>
      </w:pPr>
      <w:r w:rsidRPr="00C5442F">
        <w:t xml:space="preserve">I seguenti antigeni vanno </w:t>
      </w:r>
      <w:r>
        <w:t xml:space="preserve">rispettati </w:t>
      </w:r>
      <w:r w:rsidRPr="00C5442F">
        <w:t>preventivamente per ogni trasfusione di CE: RH1, RH2, RH3, RH4, RH5, KEL1, KEL2, JK1, JK2, FY1, FY2, MNS3 e MNS4</w:t>
      </w:r>
      <w:r w:rsidR="00C71882">
        <w:t xml:space="preserve"> (</w:t>
      </w:r>
      <w:r w:rsidR="00125251">
        <w:t>RhD, C, E, c, e, K, k, Jk</w:t>
      </w:r>
      <w:r w:rsidR="00125251" w:rsidRPr="008B6ADF">
        <w:rPr>
          <w:vertAlign w:val="superscript"/>
        </w:rPr>
        <w:t>a</w:t>
      </w:r>
      <w:r w:rsidR="00125251">
        <w:t>, Jk</w:t>
      </w:r>
      <w:r w:rsidR="00125251" w:rsidRPr="008B6ADF">
        <w:rPr>
          <w:vertAlign w:val="superscript"/>
        </w:rPr>
        <w:t>b</w:t>
      </w:r>
      <w:r w:rsidR="00125251">
        <w:t>, Fy</w:t>
      </w:r>
      <w:r w:rsidR="00125251" w:rsidRPr="008B6ADF">
        <w:rPr>
          <w:vertAlign w:val="superscript"/>
        </w:rPr>
        <w:t>a</w:t>
      </w:r>
      <w:r w:rsidR="00125251">
        <w:t>, Fy</w:t>
      </w:r>
      <w:r w:rsidR="00125251" w:rsidRPr="008B6ADF">
        <w:rPr>
          <w:vertAlign w:val="superscript"/>
        </w:rPr>
        <w:t>b</w:t>
      </w:r>
      <w:r w:rsidR="00125251">
        <w:t>, S, s)</w:t>
      </w:r>
      <w:r w:rsidRPr="00C5442F">
        <w:t>. Se ciò non è possibile, occorre informare il medico prescrivente del rischio di un’immunizzazione.</w:t>
      </w:r>
    </w:p>
    <w:p w14:paraId="743DC506" w14:textId="67C7AE6A" w:rsidR="00EF4BEC" w:rsidRPr="009E2ACD" w:rsidRDefault="009E2ACD" w:rsidP="008B6ADF">
      <w:pPr>
        <w:pStyle w:val="AufzhlungPunkt"/>
      </w:pPr>
      <w:r w:rsidRPr="00C5442F">
        <w:t xml:space="preserve">Il rilevamento di un primo anticorpo o autoanticorpo irregolare deve essere considerato un segnale di allarme: il paziente può essere un «responder», quindi a rischio di sviluppare ulteriori alloanticorpi, che potrebbero portare a </w:t>
      </w:r>
      <w:r>
        <w:t>difficoltà nel reperire prodotti compatibili per la trasfusione</w:t>
      </w:r>
      <w:r w:rsidRPr="00C5442F">
        <w:t>.</w:t>
      </w:r>
    </w:p>
    <w:p w14:paraId="00BC7823" w14:textId="77777777" w:rsidR="00EF4BEC" w:rsidRPr="003E3DE4" w:rsidRDefault="009E2ACD" w:rsidP="008B6ADF">
      <w:pPr>
        <w:pStyle w:val="AufzhlungPunkt"/>
      </w:pPr>
      <w:r w:rsidRPr="00C5442F">
        <w:t>Il rilascio di CE tramite procedure di T&amp;S è altamente sconsigliato. Il test di compatibilità è raccomandato per tutti i CE da trasfondere, anche se non sono presenti anticorpi irregolari. In questo modo si può ridurre al minimo il rischio di una reazione trasfusionale dovuta a un anticorpo contro un antigene privato, poiché il rischio di presenza di un anticorpo contro un antigene privato è maggiore.</w:t>
      </w:r>
    </w:p>
    <w:p w14:paraId="59597B0E" w14:textId="77777777" w:rsidR="00EF4BEC" w:rsidRPr="003F7E08" w:rsidRDefault="009E2ACD" w:rsidP="008B6ADF">
      <w:pPr>
        <w:pStyle w:val="AufzhlungPunkt"/>
      </w:pPr>
      <w:r w:rsidRPr="003E3DE4">
        <w:t>Poiché alcuni anticorpi possono rapidamente scendere di nuovo al di sotto della soglia di rilevazione, è necessario effettuare nuovamente una verifica degli anticorpi da 10 a 21 giorni dopo ogni trasfusione.</w:t>
      </w:r>
    </w:p>
    <w:p w14:paraId="58D2A599" w14:textId="1C7A273D" w:rsidR="00395336" w:rsidRPr="008B6ADF" w:rsidRDefault="009E2ACD" w:rsidP="008B6ADF">
      <w:pPr>
        <w:pStyle w:val="AufzhlungPunkt"/>
        <w:sectPr w:rsidR="00395336" w:rsidRPr="008B6ADF">
          <w:pgSz w:w="11906" w:h="16838"/>
          <w:pgMar w:top="1418" w:right="1418" w:bottom="993" w:left="1418" w:header="425" w:footer="170" w:gutter="0"/>
          <w:cols w:space="708"/>
          <w:docGrid w:linePitch="360"/>
        </w:sectPr>
      </w:pPr>
      <w:r w:rsidRPr="00804081">
        <w:t>Qualsiasi crisi vaso-occlusiva che si verifichi entro 21 giorni dopo una trasfusione deve essere considerata una potenziale</w:t>
      </w:r>
      <w:r>
        <w:t xml:space="preserve"> alloimmunizzazione e va indagat</w:t>
      </w:r>
      <w:r w:rsidR="00F26DC4">
        <w:t xml:space="preserve">a attivamente </w:t>
      </w:r>
      <w:r w:rsidR="00F26DC4">
        <w:fldChar w:fldCharType="begin"/>
      </w:r>
      <w:r w:rsidR="00F26DC4">
        <w:instrText xml:space="preserve"> ADDIN ZOTERO_ITEM CSL_CITATION {"citationID":"7JSLfPf0","properties":{"formattedCitation":"[30]","plainCitation":"[30]","noteIndex":0},"citationItems":[{"id":2488,"uris":["http://zotero.org/groups/969572/items/VBXQ3R97"],"uri":["http://zotero.org/groups/969572/items/VBXQ3R97"],"itemData":{"id":2488,"type":"article-journal","container-title":"Am J Hematol","page":"91:989-94","title":"Delayed hemolytic transfusion reaction in adult sickle-cell disease: presentations, outcomes, and treatments of 99 referral center episodes","author":[{"family":"Habibi A, Mekontso-Dessap A, Guillaud C, et al.","given":""}],"issued":{"date-parts":[["2016"]]}}}],"schema":"https://github.com/citation-style-language/schema/raw/master/csl-citation.json"} </w:instrText>
      </w:r>
      <w:r w:rsidR="00F26DC4">
        <w:fldChar w:fldCharType="separate"/>
      </w:r>
      <w:r w:rsidR="00F26DC4" w:rsidRPr="00F26DC4">
        <w:t>[30]</w:t>
      </w:r>
      <w:r w:rsidR="00F26DC4">
        <w:fldChar w:fldCharType="end"/>
      </w:r>
      <w:r>
        <w:t>.</w:t>
      </w:r>
    </w:p>
    <w:p w14:paraId="2427B7E6" w14:textId="7C25EACA" w:rsidR="00EF4BEC" w:rsidRDefault="009E2ACD">
      <w:pPr>
        <w:pStyle w:val="berschrift1"/>
      </w:pPr>
      <w:bookmarkStart w:id="158" w:name="_Toc161749173"/>
      <w:r>
        <w:lastRenderedPageBreak/>
        <w:t>Reazioni trasfusionali indesiderate</w:t>
      </w:r>
      <w:r w:rsidR="002B4C7D">
        <w:t xml:space="preserve"> ed errori trasfusionali</w:t>
      </w:r>
      <w:bookmarkEnd w:id="158"/>
    </w:p>
    <w:p w14:paraId="774F2211" w14:textId="77777777" w:rsidR="002B4C7D" w:rsidRPr="002B4C7D" w:rsidRDefault="002B4C7D" w:rsidP="002B4C7D">
      <w:pPr>
        <w:rPr>
          <w:rFonts w:cs="Arial"/>
          <w:lang w:val="it-IT"/>
        </w:rPr>
      </w:pPr>
      <w:r w:rsidRPr="00047D06">
        <w:rPr>
          <w:rFonts w:cs="Arial"/>
          <w:lang w:val="it-IT"/>
        </w:rPr>
        <w:t>La gestione di eventi trasfusionali avversi (ad es. reazioni trasfusionali, errori trasfusionali) fa parte del dovere di diligenza nella manipolazione degli emoderivati e la notifica degli eventi è un’esigenza legale nel quadro dell'emovigilanza (Later art. 3, Later art. 59)</w:t>
      </w:r>
      <w:r w:rsidRPr="002B4C7D">
        <w:rPr>
          <w:rFonts w:cs="Arial"/>
          <w:lang w:val="it-IT"/>
        </w:rPr>
        <w:t>. Il presente documento tratta solo le reazioni trasfusionali avverse che si verificano nel contesto delle indagini immunoematologiche su campioni dei pazienti.</w:t>
      </w:r>
    </w:p>
    <w:p w14:paraId="519435A5" w14:textId="523D9B43" w:rsidR="007C6931" w:rsidRPr="007C6931" w:rsidRDefault="007C6931" w:rsidP="00B83906">
      <w:pPr>
        <w:pStyle w:val="berschrift2"/>
      </w:pPr>
      <w:bookmarkStart w:id="159" w:name="_Toc161749174"/>
      <w:r w:rsidRPr="007C6931">
        <w:t>Reazioni avverse alla trasfusione</w:t>
      </w:r>
      <w:bookmarkEnd w:id="159"/>
    </w:p>
    <w:p w14:paraId="74AD712F" w14:textId="3D3FBF21" w:rsidR="002B4C7D" w:rsidRDefault="002B4C7D" w:rsidP="007C6931">
      <w:r w:rsidRPr="00047D06">
        <w:t>Il chiarimento delle allo-immunizzazioni è elencato altrove – se verificati a seguito di una trasfusione gli allo-anticorpi sono classificati come effetti secondari della trasfusione stessa e devono essere segnalati (vedi § 5.3 e 5.7). Ulteriori informazioni (classificazione e chiarimento delle reazioni trasfusionali e degli errori trasfusionali) sono disponibili sul sito web di Swissmedic</w:t>
      </w:r>
      <w:r w:rsidRPr="002B4C7D">
        <w:t xml:space="preserve"> (Haemovigilance: </w:t>
      </w:r>
      <w:hyperlink r:id="rId23" w:history="1">
        <w:r w:rsidRPr="00047D06">
          <w:rPr>
            <w:rStyle w:val="Hyperlink"/>
            <w:szCs w:val="20"/>
            <w:lang w:val="it-CH"/>
          </w:rPr>
          <w:t>Haemovigilance (swissmedic.ch)</w:t>
        </w:r>
      </w:hyperlink>
      <w:r w:rsidRPr="00047D06">
        <w:rPr>
          <w:szCs w:val="20"/>
          <w:lang w:val="it-CH"/>
        </w:rPr>
        <w:t>.</w:t>
      </w:r>
      <w:r w:rsidRPr="00421197">
        <w:rPr>
          <w:szCs w:val="20"/>
          <w:lang w:val="it-CH"/>
        </w:rPr>
        <w:t xml:space="preserve"> </w:t>
      </w:r>
      <w:bookmarkStart w:id="160" w:name="_Toc241314595"/>
      <w:r>
        <w:t>Reazioni trasfusionali indesiderate</w:t>
      </w:r>
    </w:p>
    <w:p w14:paraId="550F6F49" w14:textId="3EFB6BC3" w:rsidR="00EF4BEC" w:rsidRDefault="002B4C7D" w:rsidP="00047D06">
      <w:pPr>
        <w:pStyle w:val="berschrift2"/>
        <w:numPr>
          <w:ilvl w:val="0"/>
          <w:numId w:val="0"/>
        </w:numPr>
        <w:ind w:left="-1418" w:firstLine="1418"/>
      </w:pPr>
      <w:bookmarkStart w:id="161" w:name="_Toc161749175"/>
      <w:r>
        <w:t xml:space="preserve">10.1.1 </w:t>
      </w:r>
      <w:r w:rsidR="009E2ACD">
        <w:t>Generalità</w:t>
      </w:r>
      <w:bookmarkEnd w:id="160"/>
      <w:bookmarkEnd w:id="161"/>
    </w:p>
    <w:p w14:paraId="4C2D2CA5" w14:textId="5ED2E0FB" w:rsidR="00EF4BEC" w:rsidRDefault="009E2ACD">
      <w:pPr>
        <w:rPr>
          <w:lang w:val="it-IT"/>
        </w:rPr>
      </w:pPr>
      <w:r>
        <w:rPr>
          <w:lang w:val="it-IT"/>
        </w:rPr>
        <w:t>Le indagini da intraprendere dopo una reazione o una complicazione trasfusionale devono rispondere alle esigenze legali in vigore in materia di emovigilanza</w:t>
      </w:r>
      <w:r w:rsidR="00F26DC4">
        <w:rPr>
          <w:lang w:val="it-IT"/>
        </w:rPr>
        <w:t xml:space="preserve"> </w:t>
      </w:r>
      <w:r w:rsidR="00F26DC4">
        <w:rPr>
          <w:lang w:val="it-IT"/>
        </w:rPr>
        <w:fldChar w:fldCharType="begin"/>
      </w:r>
      <w:r w:rsidR="00F26DC4">
        <w:rPr>
          <w:lang w:val="it-IT"/>
        </w:rPr>
        <w:instrText xml:space="preserve"> ADDIN ZOTERO_ITEM CSL_CITATION {"citationID":"02qKDtXd","properties":{"formattedCitation":"[1]","plainCitation":"[1]","noteIndex":0},"citationItems":[{"id":2530,"uris":["http://zotero.org/groups/969572/items/CSQY52KL"],"uri":["http://zotero.org/groups/969572/items/CSQY52KL"],"itemData":{"id":2530,"type":"article","title":"Verordnung über die Arzneimittel (Arzneimittelverordnung, VAM SR 812.212.21)","URL":"http://www.fedlex.admin.ch"}}],"schema":"https://github.com/citation-style-language/schema/raw/master/csl-citation.json"} </w:instrText>
      </w:r>
      <w:r w:rsidR="00F26DC4">
        <w:rPr>
          <w:lang w:val="it-IT"/>
        </w:rPr>
        <w:fldChar w:fldCharType="separate"/>
      </w:r>
      <w:r w:rsidR="00F26DC4" w:rsidRPr="00F26DC4">
        <w:rPr>
          <w:rFonts w:cs="Arial"/>
          <w:lang w:val="it-IT"/>
        </w:rPr>
        <w:t>[1]</w:t>
      </w:r>
      <w:r w:rsidR="00F26DC4">
        <w:rPr>
          <w:lang w:val="it-IT"/>
        </w:rPr>
        <w:fldChar w:fldCharType="end"/>
      </w:r>
      <w:r>
        <w:rPr>
          <w:lang w:val="it-IT"/>
        </w:rPr>
        <w:t>.</w:t>
      </w:r>
    </w:p>
    <w:p w14:paraId="7C1689B5" w14:textId="77777777" w:rsidR="00EF4BEC" w:rsidRDefault="009E2ACD">
      <w:pPr>
        <w:pStyle w:val="AufzhlungPunkt"/>
      </w:pPr>
      <w:r>
        <w:t xml:space="preserve">Il medico responsabile della trasfusione deve conoscere le diverse possibili cause della reazione trasfusionale e prendere i provvedimenti necessari. </w:t>
      </w:r>
    </w:p>
    <w:p w14:paraId="07ADE7CF" w14:textId="77777777" w:rsidR="00EF4BEC" w:rsidRDefault="009E2ACD">
      <w:pPr>
        <w:pStyle w:val="AufzhlungPunkt"/>
      </w:pPr>
      <w:r>
        <w:t xml:space="preserve">Le reazioni trasfusionali devono essere immediatamente annunciate al laboratorio che ha effettuato le indagini immunoematologiche, allo scopo di poter chiarire tempestivamente le circostanze. </w:t>
      </w:r>
    </w:p>
    <w:p w14:paraId="35A297D6" w14:textId="77777777" w:rsidR="00EF4BEC" w:rsidRDefault="009E2ACD">
      <w:pPr>
        <w:pStyle w:val="AufzhlungPunkt"/>
      </w:pPr>
      <w:r>
        <w:t>I PSL che hanno causato delle reazioni trasfusionali inattese, come pure tutti gli altri prodotti che possono essere correlati, devono essere immediatamente ritirati dallo stock disponibile e liberati solo dopo le indagini (vedi § 10.3).</w:t>
      </w:r>
    </w:p>
    <w:p w14:paraId="39A7C9F4" w14:textId="68546617" w:rsidR="00EF4BEC" w:rsidRDefault="002B4C7D" w:rsidP="00047D06">
      <w:pPr>
        <w:pStyle w:val="berschrift2"/>
        <w:numPr>
          <w:ilvl w:val="0"/>
          <w:numId w:val="0"/>
        </w:numPr>
        <w:ind w:left="709" w:hanging="993"/>
      </w:pPr>
      <w:bookmarkStart w:id="162" w:name="_Toc177962452"/>
      <w:bookmarkStart w:id="163" w:name="_Toc241314596"/>
      <w:bookmarkStart w:id="164" w:name="_Toc161749176"/>
      <w:r>
        <w:t xml:space="preserve">10.1.2 </w:t>
      </w:r>
      <w:r w:rsidR="009E2ACD">
        <w:t>In</w:t>
      </w:r>
      <w:bookmarkEnd w:id="162"/>
      <w:r w:rsidR="009E2ACD">
        <w:t>dagini da eseguire in caso di sospetta reazione trasfusionale emolitica</w:t>
      </w:r>
      <w:bookmarkStart w:id="165" w:name="_Toc241314597"/>
      <w:bookmarkEnd w:id="163"/>
      <w:bookmarkEnd w:id="164"/>
    </w:p>
    <w:p w14:paraId="74FB6DFA" w14:textId="34B4A7E1" w:rsidR="00EF4BEC" w:rsidRDefault="002B4C7D" w:rsidP="00047D06">
      <w:pPr>
        <w:pStyle w:val="berschrift3"/>
        <w:numPr>
          <w:ilvl w:val="0"/>
          <w:numId w:val="0"/>
        </w:numPr>
        <w:ind w:left="-567" w:firstLine="283"/>
      </w:pPr>
      <w:bookmarkStart w:id="166" w:name="_Toc161749177"/>
      <w:r>
        <w:t xml:space="preserve">10.1.2.1 </w:t>
      </w:r>
      <w:r w:rsidR="009E2ACD">
        <w:t>Materiale</w:t>
      </w:r>
      <w:bookmarkEnd w:id="165"/>
      <w:bookmarkEnd w:id="166"/>
    </w:p>
    <w:p w14:paraId="6CB715F1" w14:textId="77777777" w:rsidR="00EF4BEC" w:rsidRDefault="009E2ACD">
      <w:pPr>
        <w:pStyle w:val="AufzhlungPunkt"/>
      </w:pPr>
      <w:r>
        <w:t>Per l’indagine di eventuali reazioni trasfusionali emolitiche, il laboratorio deve disporre del materiale seguente:</w:t>
      </w:r>
    </w:p>
    <w:p w14:paraId="46D19DC9" w14:textId="77777777" w:rsidR="00EF4BEC" w:rsidRDefault="009E2ACD">
      <w:pPr>
        <w:pStyle w:val="AufzhlungStrich"/>
      </w:pPr>
      <w:r>
        <w:t>campione sul quale sono stati effettuati i test pretrasfusionali del ricevente,</w:t>
      </w:r>
    </w:p>
    <w:p w14:paraId="729EFCC3" w14:textId="77777777" w:rsidR="00EF4BEC" w:rsidRDefault="009E2ACD">
      <w:pPr>
        <w:pStyle w:val="AufzhlungStrich"/>
      </w:pPr>
      <w:r>
        <w:t xml:space="preserve">sacca e/o segmentino di tutti i PSL trasfusi, </w:t>
      </w:r>
    </w:p>
    <w:p w14:paraId="5853AF63" w14:textId="77777777" w:rsidR="00EF4BEC" w:rsidRDefault="009E2ACD">
      <w:pPr>
        <w:pStyle w:val="AufzhlungStrich"/>
      </w:pPr>
      <w:r>
        <w:t>campione del ricevente prelevato immediatamente dopo l’inizio della reazione.</w:t>
      </w:r>
    </w:p>
    <w:p w14:paraId="1D7C4E32" w14:textId="3354F096" w:rsidR="00EF4BEC" w:rsidRDefault="002B4C7D" w:rsidP="00047D06">
      <w:pPr>
        <w:pStyle w:val="berschrift3"/>
        <w:numPr>
          <w:ilvl w:val="0"/>
          <w:numId w:val="0"/>
        </w:numPr>
        <w:ind w:left="709" w:hanging="709"/>
      </w:pPr>
      <w:bookmarkStart w:id="167" w:name="_Toc177962454"/>
      <w:bookmarkStart w:id="168" w:name="_Toc241314598"/>
      <w:bookmarkStart w:id="169" w:name="_Toc161749178"/>
      <w:r>
        <w:t xml:space="preserve">10.1.2.2 </w:t>
      </w:r>
      <w:r w:rsidR="009E2ACD">
        <w:t>Indagini immunoematologiche</w:t>
      </w:r>
      <w:bookmarkEnd w:id="167"/>
      <w:bookmarkEnd w:id="168"/>
      <w:bookmarkEnd w:id="169"/>
    </w:p>
    <w:p w14:paraId="44D096DA" w14:textId="77777777" w:rsidR="00EF4BEC" w:rsidRDefault="009E2ACD">
      <w:pPr>
        <w:pStyle w:val="AufzhlungPunkt"/>
      </w:pPr>
      <w:r>
        <w:t>Escludere la possibilità di un errore amministrativo o scambio di provette.</w:t>
      </w:r>
    </w:p>
    <w:p w14:paraId="1137F600" w14:textId="77777777" w:rsidR="00EF4BEC" w:rsidRDefault="009E2ACD">
      <w:pPr>
        <w:pStyle w:val="AufzhlungPunkt"/>
      </w:pPr>
      <w:r>
        <w:t>Effettuare le seguenti analisi sui campioni pre- e posttrasfusione del paziente:</w:t>
      </w:r>
    </w:p>
    <w:p w14:paraId="2AE51872" w14:textId="77777777" w:rsidR="00EF4BEC" w:rsidRDefault="009E2ACD">
      <w:pPr>
        <w:pStyle w:val="AufzhlungStrich"/>
      </w:pPr>
      <w:r>
        <w:t>controllo visivo del plasma/siero per ricercare un’emolisi prima e dopo la trasfusione,</w:t>
      </w:r>
    </w:p>
    <w:p w14:paraId="31E79AF7" w14:textId="2125BA23" w:rsidR="00EF4BEC" w:rsidRDefault="009E2ACD">
      <w:pPr>
        <w:pStyle w:val="AufzhlungStrich"/>
      </w:pPr>
      <w:r>
        <w:t>determinazione completa del gruppo ABO/RH1 del paziente,</w:t>
      </w:r>
    </w:p>
    <w:p w14:paraId="1D30CF7F" w14:textId="77777777" w:rsidR="00EF4BEC" w:rsidRDefault="009E2ACD">
      <w:pPr>
        <w:pStyle w:val="AufzhlungStrich"/>
      </w:pPr>
      <w:r>
        <w:t>RAI,</w:t>
      </w:r>
    </w:p>
    <w:p w14:paraId="749505D6" w14:textId="6FDB9A5B" w:rsidR="00EF4BEC" w:rsidRDefault="009E2ACD">
      <w:pPr>
        <w:pStyle w:val="AufzhlungStrich"/>
      </w:pPr>
      <w:r>
        <w:t>determinazione del DAT: se positivo, occorre eseguire un’eluizione sul campione prelevato dopo la trasfusione in causa; se DAT negativo, ma in presenza di segni di emolisi, effettuare ugualmente un’eluizione. In caso di incompatibilità ABO, ad esempio dopo la somministrazione di CT o di IVIG, l'eluato deve essere eseguito anche con l’aggiunta di una sospensione test cellula A o B,</w:t>
      </w:r>
    </w:p>
    <w:p w14:paraId="140DE69E" w14:textId="77777777" w:rsidR="00EF4BEC" w:rsidRDefault="009E2ACD">
      <w:pPr>
        <w:pStyle w:val="AufzhlungStrich"/>
      </w:pPr>
      <w:r>
        <w:t>TC con tutti i CE trasfusi nelle ultime 6 ore.</w:t>
      </w:r>
    </w:p>
    <w:p w14:paraId="7455093F" w14:textId="77777777" w:rsidR="00EF4BEC" w:rsidRDefault="009E2ACD">
      <w:pPr>
        <w:pStyle w:val="AufzhlungPunkt"/>
      </w:pPr>
      <w:r>
        <w:t>Analisi sui prodotti sanguigni trasfusi (CE o segmento):</w:t>
      </w:r>
    </w:p>
    <w:p w14:paraId="7D50AB85" w14:textId="77777777" w:rsidR="00EF4BEC" w:rsidRDefault="009E2ACD">
      <w:pPr>
        <w:pStyle w:val="AufzhlungStrich"/>
      </w:pPr>
      <w:r>
        <w:t>aspetto visivo del PSL (colore e omogeneità),</w:t>
      </w:r>
    </w:p>
    <w:p w14:paraId="1AD1146A" w14:textId="7C6062FD" w:rsidR="00EF4BEC" w:rsidRDefault="009E2ACD">
      <w:pPr>
        <w:pStyle w:val="AufzhlungStrich"/>
      </w:pPr>
      <w:r>
        <w:t>controllo antigeni AB/RH1 sui segmentini dei CE e se necessario fenotipo RH/KEL1</w:t>
      </w:r>
      <w:r w:rsidR="00125251">
        <w:t xml:space="preserve"> </w:t>
      </w:r>
      <w:r>
        <w:t>e altri antigeni del gruppo sanguigno,</w:t>
      </w:r>
    </w:p>
    <w:p w14:paraId="6208ED2A" w14:textId="18C27188" w:rsidR="00EF4BEC" w:rsidRDefault="009E2ACD">
      <w:pPr>
        <w:pStyle w:val="AufzhlungStrich"/>
      </w:pPr>
      <w:r>
        <w:t>trasfusione di PFC: effettuare una prova crociata con un campione di plasma delle sacche trasfuse,</w:t>
      </w:r>
    </w:p>
    <w:p w14:paraId="0B7F491D" w14:textId="77777777" w:rsidR="00EF4BEC" w:rsidRDefault="009E2ACD">
      <w:pPr>
        <w:pStyle w:val="AufzhlungStrich"/>
      </w:pPr>
      <w:r>
        <w:t>altri prodotti sanguigni dovranno, se clinicamente possibile, essere trasfusi solo al termine delle indagini.</w:t>
      </w:r>
    </w:p>
    <w:p w14:paraId="2D24A3BF" w14:textId="77777777" w:rsidR="00EF4BEC" w:rsidRDefault="00EF4BEC">
      <w:pPr>
        <w:rPr>
          <w:rFonts w:cs="Arial"/>
          <w:lang w:val="it-IT"/>
        </w:rPr>
        <w:sectPr w:rsidR="00EF4BEC">
          <w:pgSz w:w="11906" w:h="16838"/>
          <w:pgMar w:top="1418" w:right="1418" w:bottom="993" w:left="1418" w:header="425" w:footer="170" w:gutter="0"/>
          <w:cols w:space="708"/>
          <w:docGrid w:linePitch="360"/>
        </w:sectPr>
      </w:pPr>
    </w:p>
    <w:p w14:paraId="71AA916D" w14:textId="65035D80" w:rsidR="00EF4BEC" w:rsidRDefault="002B4C7D" w:rsidP="00047D06">
      <w:pPr>
        <w:pStyle w:val="berschrift3"/>
        <w:numPr>
          <w:ilvl w:val="0"/>
          <w:numId w:val="0"/>
        </w:numPr>
        <w:ind w:left="709" w:hanging="709"/>
      </w:pPr>
      <w:bookmarkStart w:id="170" w:name="_Toc241314599"/>
      <w:bookmarkStart w:id="171" w:name="_Toc161749179"/>
      <w:bookmarkStart w:id="172" w:name="_Toc177962455"/>
      <w:r>
        <w:lastRenderedPageBreak/>
        <w:t xml:space="preserve">10.1.2.3 </w:t>
      </w:r>
      <w:r w:rsidR="009E2ACD">
        <w:t>Ulteriori indagini</w:t>
      </w:r>
      <w:bookmarkEnd w:id="170"/>
      <w:bookmarkEnd w:id="171"/>
      <w:r w:rsidR="009E2ACD">
        <w:t xml:space="preserve"> </w:t>
      </w:r>
    </w:p>
    <w:p w14:paraId="379A07E5" w14:textId="77777777" w:rsidR="00EF4BEC" w:rsidRDefault="009E2ACD">
      <w:pPr>
        <w:rPr>
          <w:rFonts w:cs="Arial"/>
          <w:lang w:val="it-IT"/>
        </w:rPr>
      </w:pPr>
      <w:r>
        <w:rPr>
          <w:rFonts w:cs="Arial"/>
          <w:lang w:val="it-IT"/>
        </w:rPr>
        <w:t>In caso di reazioni trasfusionali, è di competenza del medico responsabile della trasfusione decidere se si rendono necessarie ulteriori indagini.</w:t>
      </w:r>
      <w:bookmarkStart w:id="173" w:name="_Toc241314600"/>
    </w:p>
    <w:p w14:paraId="00EBDD4B" w14:textId="04D9C40F" w:rsidR="002B4C7D" w:rsidRDefault="002B4C7D" w:rsidP="00B83906">
      <w:pPr>
        <w:pStyle w:val="berschrift2"/>
      </w:pPr>
      <w:bookmarkStart w:id="174" w:name="_Toc161749180"/>
      <w:r>
        <w:t>Errori Trasfusionali</w:t>
      </w:r>
      <w:bookmarkEnd w:id="174"/>
    </w:p>
    <w:p w14:paraId="1B75839F" w14:textId="77777777" w:rsidR="00AF2502" w:rsidRPr="00047D06" w:rsidRDefault="00AF2502" w:rsidP="00AF2502">
      <w:pPr>
        <w:rPr>
          <w:rFonts w:cs="Arial"/>
          <w:lang w:val="it-IT"/>
        </w:rPr>
      </w:pPr>
      <w:r w:rsidRPr="00047D06">
        <w:rPr>
          <w:rFonts w:cs="Arial"/>
          <w:lang w:val="it-IT"/>
        </w:rPr>
        <w:t>Gli errori trasfusionali sono eventi in cui, ad esempio, è stato trasfuso un prodotto ematico non idoneo, incompatibile o solo accidentalmente compatibile. I “near miss” sono errori di trasfusione che sono stati evitati per poco. Se durante i test immunoematologici viene rilevato un errore o un quasi errore trasfusionale, il medico responsabile deve essere informato immediatamente e deve essere effettuata un'analisi delle cause. La gestione dell’evento e le eventuali misure adottate devono essere documentate nell'ambito del sistema di assicurazione della qualità e gli eventi devono essere segnalati a Swissmedic (vedi § 10.3).</w:t>
      </w:r>
    </w:p>
    <w:p w14:paraId="09A0FAEA" w14:textId="77777777" w:rsidR="002B4C7D" w:rsidRPr="00047D06" w:rsidRDefault="002B4C7D" w:rsidP="00047D06">
      <w:pPr>
        <w:rPr>
          <w:lang w:val="it-IT"/>
        </w:rPr>
      </w:pPr>
    </w:p>
    <w:p w14:paraId="2B2DBB6D" w14:textId="6A455572" w:rsidR="00EF4BEC" w:rsidRDefault="009E2ACD" w:rsidP="00B83906">
      <w:pPr>
        <w:pStyle w:val="berschrift2"/>
      </w:pPr>
      <w:bookmarkStart w:id="175" w:name="_Toc161749181"/>
      <w:r>
        <w:t>Ann</w:t>
      </w:r>
      <w:bookmarkEnd w:id="172"/>
      <w:r>
        <w:t>uncio</w:t>
      </w:r>
      <w:bookmarkEnd w:id="173"/>
      <w:bookmarkEnd w:id="175"/>
    </w:p>
    <w:p w14:paraId="746FB1C4" w14:textId="11C250FF" w:rsidR="00F26DC4" w:rsidRPr="00583734" w:rsidRDefault="00C142FB" w:rsidP="00F26DC4">
      <w:pPr>
        <w:rPr>
          <w:rFonts w:cs="Arial"/>
          <w:lang w:val="it-IT"/>
        </w:rPr>
        <w:sectPr w:rsidR="00F26DC4" w:rsidRPr="00583734" w:rsidSect="00B83906">
          <w:pgSz w:w="11906" w:h="16838"/>
          <w:pgMar w:top="1417" w:right="1417" w:bottom="709" w:left="1417" w:header="708" w:footer="18" w:gutter="0"/>
          <w:cols w:space="708"/>
          <w:docGrid w:linePitch="360"/>
        </w:sectPr>
      </w:pPr>
      <w:bookmarkStart w:id="176" w:name="OLE_LINK1"/>
      <w:r w:rsidRPr="00F26DC4">
        <w:rPr>
          <w:rFonts w:cs="Arial"/>
          <w:lang w:val="it-IT"/>
        </w:rPr>
        <w:t>Le reazioni trasfusionali indesiderate, gli errori trasfusionali e gli errori trasfusionali evitati per poco (near miss) devono essere segnalati a Swissmedic. Il responsabile dell'emovigilanza o il medico trasfusionista è responsabile dell'adempimento dell'obbligo di segnalazione</w:t>
      </w:r>
      <w:r w:rsidR="00F26DC4">
        <w:rPr>
          <w:rFonts w:cs="Arial"/>
          <w:lang w:val="it-IT"/>
        </w:rPr>
        <w:t xml:space="preserve"> (OM art. 62, art. 63, art. 65 </w:t>
      </w:r>
      <w:r w:rsidR="00F26DC4" w:rsidRPr="00F26DC4">
        <w:rPr>
          <w:rFonts w:cs="Arial"/>
          <w:lang w:val="it-IT"/>
        </w:rPr>
        <w:t>e, se applicabile</w:t>
      </w:r>
      <w:r w:rsidR="00F26DC4">
        <w:rPr>
          <w:rFonts w:cs="Arial"/>
          <w:lang w:val="it-IT"/>
        </w:rPr>
        <w:t xml:space="preserve"> OAMed</w:t>
      </w:r>
      <w:r w:rsidR="00583734">
        <w:rPr>
          <w:rFonts w:cs="Arial"/>
          <w:lang w:val="it-IT"/>
        </w:rPr>
        <w:t xml:space="preserve"> art. 28) </w:t>
      </w:r>
      <w:r w:rsidR="00583734">
        <w:rPr>
          <w:rFonts w:cs="Arial"/>
          <w:lang w:val="it-IT"/>
        </w:rPr>
        <w:fldChar w:fldCharType="begin"/>
      </w:r>
      <w:r w:rsidR="00583734">
        <w:rPr>
          <w:rFonts w:cs="Arial"/>
          <w:lang w:val="it-IT"/>
        </w:rPr>
        <w:instrText xml:space="preserve"> ADDIN ZOTERO_ITEM CSL_CITATION {"citationID":"2CyKH65E","properties":{"formattedCitation":"[1], [7]","plainCitation":"[1], [7]","noteIndex":0},"citationItems":[{"id":2530,"uris":["http://zotero.org/groups/969572/items/CSQY52KL"],"uri":["http://zotero.org/groups/969572/items/CSQY52KL"],"itemData":{"id":2530,"type":"article","title":"Verordnung über die Arzneimittel (Arzneimittelverordnung, VAM SR 812.212.21)","URL":"http://www.fedlex.admin.ch"}},{"id":278,"uris":["http://zotero.org/groups/969572/items/TVPD458J"],"uri":["http://zotero.org/groups/969572/items/TVPD458J"],"itemData":{"id":278,"type":"legislation","chapter-number":"14.11.2018","language":"de","number":"812.212.1","page":"40","title":"Verordnung über die Bewilligungen im Arzneimittelbereich","title-short":"AMBV","author":[{"family":"Der Schweizerische Bundesrat","given":""}],"accessed":{"date-parts":[["2019",1,8]]},"issued":{"date-parts":[["2019",1,1]]}}}],"schema":"https://github.com/citation-style-language/schema/raw/master/csl-citation.json"} </w:instrText>
      </w:r>
      <w:r w:rsidR="00583734">
        <w:rPr>
          <w:rFonts w:cs="Arial"/>
          <w:lang w:val="it-IT"/>
        </w:rPr>
        <w:fldChar w:fldCharType="separate"/>
      </w:r>
      <w:r w:rsidR="00583734" w:rsidRPr="00583734">
        <w:rPr>
          <w:rFonts w:cs="Arial"/>
          <w:lang w:val="it-IT"/>
        </w:rPr>
        <w:t>[1], [7]</w:t>
      </w:r>
      <w:r w:rsidR="00583734">
        <w:rPr>
          <w:rFonts w:cs="Arial"/>
          <w:lang w:val="it-IT"/>
        </w:rPr>
        <w:fldChar w:fldCharType="end"/>
      </w:r>
      <w:r w:rsidRPr="00F26DC4">
        <w:rPr>
          <w:rFonts w:cs="Arial"/>
          <w:lang w:val="it-IT"/>
        </w:rPr>
        <w:t xml:space="preserve">. Ulteriori informazioni e i relativi moduli sono disponibili presso Swissmedic </w:t>
      </w:r>
      <w:hyperlink r:id="rId24" w:history="1">
        <w:r w:rsidRPr="00F26DC4">
          <w:rPr>
            <w:rStyle w:val="Hyperlink"/>
            <w:rFonts w:cs="Arial"/>
            <w:lang w:val="it-IT"/>
          </w:rPr>
          <w:t>(Haemovigilance (swissmedic.ch))</w:t>
        </w:r>
      </w:hyperlink>
      <w:r w:rsidRPr="00F26DC4">
        <w:rPr>
          <w:rFonts w:cs="Arial"/>
          <w:lang w:val="it-IT"/>
        </w:rPr>
        <w:t>. Se si sospetta una reazione trasfusionale avversa, è necessario informare immediatamente anche il produttore (STCRS), in modo da poter bloccare o richiamare tutti gli altri prodotti potenzialmente interessati (ad esempio, provenienti dallo stesso donatore).</w:t>
      </w:r>
      <w:bookmarkEnd w:id="176"/>
    </w:p>
    <w:p w14:paraId="77E22948" w14:textId="31BB2B0F" w:rsidR="00EF4BEC" w:rsidRPr="00047D06" w:rsidRDefault="009E2ACD">
      <w:pPr>
        <w:pStyle w:val="berschrift1"/>
      </w:pPr>
      <w:bookmarkStart w:id="177" w:name="_Toc161749182"/>
      <w:r w:rsidRPr="00047D06">
        <w:lastRenderedPageBreak/>
        <w:t>Standards for Molecular Blood Group Typing</w:t>
      </w:r>
      <w:bookmarkEnd w:id="177"/>
    </w:p>
    <w:p w14:paraId="3A56985B" w14:textId="77777777" w:rsidR="00EF4BEC" w:rsidRDefault="009E2ACD">
      <w:pPr>
        <w:rPr>
          <w:rFonts w:cs="Arial"/>
          <w:lang w:val="it-IT"/>
        </w:rPr>
      </w:pPr>
      <w:r>
        <w:rPr>
          <w:rFonts w:cs="Arial"/>
          <w:lang w:val="it-IT"/>
        </w:rPr>
        <w:t xml:space="preserve">Il capitolo 11 si divide nelle seguenti sezioni: </w:t>
      </w:r>
      <w:r>
        <w:rPr>
          <w:rFonts w:cs="Arial"/>
          <w:lang w:val="it-IT"/>
        </w:rPr>
        <w:tab/>
      </w:r>
      <w:r>
        <w:rPr>
          <w:rFonts w:cs="Arial"/>
          <w:lang w:val="it-IT"/>
        </w:rPr>
        <w:tab/>
      </w:r>
      <w:r>
        <w:rPr>
          <w:rFonts w:cs="Arial"/>
          <w:lang w:val="it-IT"/>
        </w:rPr>
        <w:tab/>
      </w:r>
      <w:r>
        <w:rPr>
          <w:rFonts w:cs="Arial"/>
          <w:lang w:val="it-IT"/>
        </w:rPr>
        <w:tab/>
      </w:r>
      <w:r>
        <w:rPr>
          <w:rFonts w:cs="Arial"/>
          <w:lang w:val="it-IT"/>
        </w:rPr>
        <w:tab/>
      </w:r>
    </w:p>
    <w:p w14:paraId="271FB5CC" w14:textId="77777777" w:rsidR="00EF4BEC" w:rsidRDefault="009E2ACD">
      <w:pPr>
        <w:rPr>
          <w:rFonts w:cs="Arial"/>
          <w:lang w:val="fr-CH"/>
        </w:rPr>
      </w:pPr>
      <w:r>
        <w:rPr>
          <w:rFonts w:cs="Arial"/>
          <w:b/>
          <w:lang w:val="it-IT"/>
        </w:rPr>
        <w:tab/>
      </w:r>
      <w:r>
        <w:rPr>
          <w:rFonts w:cs="Arial"/>
          <w:b/>
          <w:lang w:val="it-IT"/>
        </w:rPr>
        <w:tab/>
      </w:r>
      <w:r>
        <w:rPr>
          <w:rFonts w:cs="Arial"/>
          <w:b/>
          <w:lang w:val="it-IT"/>
        </w:rPr>
        <w:tab/>
      </w:r>
      <w:r>
        <w:rPr>
          <w:rFonts w:cs="Arial"/>
          <w:b/>
          <w:lang w:val="it-IT"/>
        </w:rPr>
        <w:tab/>
      </w:r>
      <w:r>
        <w:rPr>
          <w:rFonts w:cs="Arial"/>
          <w:b/>
          <w:lang w:val="it-IT"/>
        </w:rPr>
        <w:tab/>
      </w:r>
      <w:r>
        <w:rPr>
          <w:rFonts w:cs="Arial"/>
          <w:b/>
          <w:lang w:val="fr-CH"/>
        </w:rPr>
        <w:t>A</w:t>
      </w:r>
      <w:r>
        <w:rPr>
          <w:rFonts w:cs="Arial"/>
          <w:lang w:val="fr-CH"/>
        </w:rPr>
        <w:t xml:space="preserve"> – Applications </w:t>
      </w:r>
    </w:p>
    <w:p w14:paraId="068E2BAE" w14:textId="77777777" w:rsidR="00EF4BEC" w:rsidRDefault="009E2ACD">
      <w:pPr>
        <w:rPr>
          <w:rFonts w:cs="Arial"/>
          <w:lang w:val="fr-CH"/>
        </w:rPr>
      </w:pPr>
      <w:r>
        <w:rPr>
          <w:rFonts w:cs="Arial"/>
          <w:b/>
          <w:lang w:val="fr-CH"/>
        </w:rPr>
        <w:tab/>
      </w:r>
      <w:r>
        <w:rPr>
          <w:rFonts w:cs="Arial"/>
          <w:b/>
          <w:lang w:val="fr-CH"/>
        </w:rPr>
        <w:tab/>
      </w:r>
      <w:r>
        <w:rPr>
          <w:rFonts w:cs="Arial"/>
          <w:b/>
          <w:lang w:val="fr-CH"/>
        </w:rPr>
        <w:tab/>
      </w:r>
      <w:r>
        <w:rPr>
          <w:rFonts w:cs="Arial"/>
          <w:b/>
          <w:lang w:val="fr-CH"/>
        </w:rPr>
        <w:tab/>
      </w:r>
      <w:r>
        <w:rPr>
          <w:rFonts w:cs="Arial"/>
          <w:b/>
          <w:lang w:val="fr-CH"/>
        </w:rPr>
        <w:tab/>
        <w:t>B</w:t>
      </w:r>
      <w:r>
        <w:rPr>
          <w:rFonts w:cs="Arial"/>
          <w:lang w:val="fr-CH"/>
        </w:rPr>
        <w:t xml:space="preserve"> – Personnel qualifications</w:t>
      </w:r>
    </w:p>
    <w:p w14:paraId="172E5A27" w14:textId="77777777" w:rsidR="00EF4BEC" w:rsidRDefault="009E2ACD">
      <w:pPr>
        <w:rPr>
          <w:rFonts w:cs="Arial"/>
          <w:lang w:val="fr-CH"/>
        </w:rPr>
      </w:pPr>
      <w:r>
        <w:rPr>
          <w:rFonts w:cs="Arial"/>
          <w:b/>
          <w:lang w:val="fr-CH"/>
        </w:rPr>
        <w:tab/>
      </w:r>
      <w:r>
        <w:rPr>
          <w:rFonts w:cs="Arial"/>
          <w:b/>
          <w:lang w:val="fr-CH"/>
        </w:rPr>
        <w:tab/>
      </w:r>
      <w:r>
        <w:rPr>
          <w:rFonts w:cs="Arial"/>
          <w:b/>
          <w:lang w:val="fr-CH"/>
        </w:rPr>
        <w:tab/>
      </w:r>
      <w:r>
        <w:rPr>
          <w:rFonts w:cs="Arial"/>
          <w:b/>
          <w:lang w:val="fr-CH"/>
        </w:rPr>
        <w:tab/>
      </w:r>
      <w:r>
        <w:rPr>
          <w:rFonts w:cs="Arial"/>
          <w:b/>
          <w:lang w:val="fr-CH"/>
        </w:rPr>
        <w:tab/>
        <w:t>C</w:t>
      </w:r>
      <w:r>
        <w:rPr>
          <w:rFonts w:cs="Arial"/>
          <w:lang w:val="fr-CH"/>
        </w:rPr>
        <w:t xml:space="preserve"> – Quality assurance</w:t>
      </w:r>
    </w:p>
    <w:p w14:paraId="68453686" w14:textId="77777777" w:rsidR="00EF4BEC" w:rsidRDefault="009E2ACD">
      <w:pPr>
        <w:rPr>
          <w:rFonts w:cs="Arial"/>
          <w:lang w:val="en-US"/>
        </w:rPr>
      </w:pPr>
      <w:r>
        <w:rPr>
          <w:rFonts w:cs="Arial"/>
          <w:lang w:val="fr-CH"/>
        </w:rPr>
        <w:tab/>
      </w:r>
      <w:r>
        <w:rPr>
          <w:rFonts w:cs="Arial"/>
          <w:lang w:val="fr-CH"/>
        </w:rPr>
        <w:tab/>
      </w:r>
      <w:r>
        <w:rPr>
          <w:rFonts w:cs="Arial"/>
          <w:lang w:val="fr-CH"/>
        </w:rPr>
        <w:tab/>
      </w:r>
      <w:r>
        <w:rPr>
          <w:rFonts w:cs="Arial"/>
          <w:lang w:val="fr-CH"/>
        </w:rPr>
        <w:tab/>
      </w:r>
      <w:r>
        <w:rPr>
          <w:rFonts w:cs="Arial"/>
          <w:lang w:val="fr-CH"/>
        </w:rPr>
        <w:tab/>
      </w:r>
      <w:r>
        <w:rPr>
          <w:rFonts w:cs="Arial"/>
          <w:b/>
          <w:lang w:val="en-US"/>
        </w:rPr>
        <w:t>D</w:t>
      </w:r>
      <w:r>
        <w:rPr>
          <w:rFonts w:cs="Arial"/>
          <w:lang w:val="en-US"/>
        </w:rPr>
        <w:t xml:space="preserve"> – External proficiency testing</w:t>
      </w:r>
    </w:p>
    <w:p w14:paraId="4249A0E6" w14:textId="77777777" w:rsidR="00EF4BEC" w:rsidRDefault="009E2ACD">
      <w:pPr>
        <w:rPr>
          <w:rFonts w:cs="Arial"/>
          <w:lang w:val="en-US"/>
        </w:rPr>
      </w:pP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b/>
          <w:lang w:val="en-US"/>
        </w:rPr>
        <w:t>E</w:t>
      </w:r>
      <w:r>
        <w:rPr>
          <w:rFonts w:cs="Arial"/>
          <w:lang w:val="en-US"/>
        </w:rPr>
        <w:t xml:space="preserve"> – Analysis processes </w:t>
      </w:r>
    </w:p>
    <w:p w14:paraId="1DAE78D0" w14:textId="77777777" w:rsidR="00EF4BEC" w:rsidRDefault="009E2ACD">
      <w:pPr>
        <w:rPr>
          <w:rFonts w:cs="Arial"/>
          <w:lang w:val="en-US"/>
        </w:rPr>
      </w:pP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b/>
          <w:lang w:val="en-US"/>
        </w:rPr>
        <w:t>P</w:t>
      </w:r>
      <w:r>
        <w:rPr>
          <w:rFonts w:cs="Arial"/>
          <w:lang w:val="en-US"/>
        </w:rPr>
        <w:t xml:space="preserve"> – Processing</w:t>
      </w:r>
    </w:p>
    <w:p w14:paraId="495D948F" w14:textId="77777777" w:rsidR="00EF4BEC" w:rsidRDefault="009E2ACD">
      <w:pPr>
        <w:rPr>
          <w:rFonts w:cs="Arial"/>
          <w:lang w:val="en-US"/>
        </w:rPr>
      </w:pP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b/>
          <w:lang w:val="en-US"/>
        </w:rPr>
        <w:t>R</w:t>
      </w:r>
      <w:r>
        <w:rPr>
          <w:rFonts w:cs="Arial"/>
          <w:lang w:val="en-US"/>
        </w:rPr>
        <w:t xml:space="preserve"> – Reporting</w:t>
      </w:r>
    </w:p>
    <w:p w14:paraId="2619195A" w14:textId="77777777" w:rsidR="00EF4BEC" w:rsidRDefault="009E2ACD">
      <w:pPr>
        <w:rPr>
          <w:rFonts w:cs="Arial"/>
          <w:lang w:val="en-US"/>
        </w:rPr>
      </w:pP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b/>
          <w:lang w:val="en-US"/>
        </w:rPr>
        <w:t>Z</w:t>
      </w:r>
      <w:r>
        <w:rPr>
          <w:rFonts w:cs="Arial"/>
          <w:lang w:val="en-US"/>
        </w:rPr>
        <w:t xml:space="preserve"> – Appendix</w:t>
      </w:r>
    </w:p>
    <w:p w14:paraId="2BEE5EA6" w14:textId="77777777" w:rsidR="00EF4BEC" w:rsidRDefault="009E2ACD">
      <w:pPr>
        <w:rPr>
          <w:rFonts w:cs="Arial"/>
          <w:lang w:val="it-IT"/>
        </w:rPr>
      </w:pPr>
      <w:r>
        <w:rPr>
          <w:rFonts w:cs="Arial"/>
          <w:lang w:val="it-IT"/>
        </w:rPr>
        <w:t xml:space="preserve">Le sezioni </w:t>
      </w:r>
      <w:r>
        <w:rPr>
          <w:rFonts w:cs="Arial"/>
          <w:b/>
          <w:lang w:val="it-IT"/>
        </w:rPr>
        <w:t>A</w:t>
      </w:r>
      <w:r>
        <w:rPr>
          <w:rFonts w:cs="Arial"/>
          <w:lang w:val="it-IT"/>
        </w:rPr>
        <w:t xml:space="preserve"> – Applications, </w:t>
      </w:r>
      <w:r>
        <w:rPr>
          <w:rFonts w:cs="Arial"/>
          <w:b/>
          <w:lang w:val="it-IT"/>
        </w:rPr>
        <w:t>P</w:t>
      </w:r>
      <w:r>
        <w:rPr>
          <w:rFonts w:cs="Arial"/>
          <w:lang w:val="it-IT"/>
        </w:rPr>
        <w:t xml:space="preserve"> – Processing, </w:t>
      </w:r>
      <w:r>
        <w:rPr>
          <w:rFonts w:cs="Arial"/>
          <w:b/>
          <w:lang w:val="it-IT"/>
        </w:rPr>
        <w:t>R</w:t>
      </w:r>
      <w:r>
        <w:rPr>
          <w:rFonts w:cs="Arial"/>
          <w:lang w:val="it-IT"/>
        </w:rPr>
        <w:t xml:space="preserve"> – Reporting e </w:t>
      </w:r>
      <w:r>
        <w:rPr>
          <w:rFonts w:cs="Arial"/>
          <w:b/>
          <w:lang w:val="it-IT"/>
        </w:rPr>
        <w:t>Z</w:t>
      </w:r>
      <w:r>
        <w:rPr>
          <w:rFonts w:cs="Arial"/>
          <w:lang w:val="it-IT"/>
        </w:rPr>
        <w:t xml:space="preserve"> – Appendix sono state elaborate e create da un sottogruppo del gruppo specializzato Immunoematologia. </w:t>
      </w:r>
    </w:p>
    <w:p w14:paraId="72B1CEAF" w14:textId="77777777" w:rsidR="00EF4BEC" w:rsidRDefault="009E2ACD">
      <w:pPr>
        <w:rPr>
          <w:rFonts w:cs="Arial"/>
          <w:lang w:val="it-IT"/>
        </w:rPr>
      </w:pPr>
      <w:r>
        <w:rPr>
          <w:rFonts w:cs="Arial"/>
          <w:lang w:val="it-IT"/>
        </w:rPr>
        <w:t xml:space="preserve">Le sezioni </w:t>
      </w:r>
      <w:r>
        <w:rPr>
          <w:rFonts w:cs="Arial"/>
          <w:b/>
          <w:lang w:val="it-IT"/>
        </w:rPr>
        <w:t>B, C, D</w:t>
      </w:r>
      <w:r>
        <w:rPr>
          <w:rFonts w:cs="Arial"/>
          <w:lang w:val="it-IT"/>
        </w:rPr>
        <w:t xml:space="preserve"> ed </w:t>
      </w:r>
      <w:r>
        <w:rPr>
          <w:rFonts w:cs="Arial"/>
          <w:b/>
          <w:lang w:val="it-IT"/>
        </w:rPr>
        <w:t>E</w:t>
      </w:r>
      <w:r>
        <w:rPr>
          <w:rFonts w:cs="Arial"/>
          <w:lang w:val="it-IT"/>
        </w:rPr>
        <w:t xml:space="preserve"> sono state riprese alla lettera dai corrispondenti capitoli dell’European Federation for Immunogenetics (EFI): Standards for Histocompatibility &amp; Immunogenetics Testing (HLA), versione 8 (in vigore dal 01.01.2020). </w:t>
      </w:r>
    </w:p>
    <w:p w14:paraId="2A52FB3F" w14:textId="77777777" w:rsidR="00EF4BEC" w:rsidRDefault="009E2ACD">
      <w:pPr>
        <w:rPr>
          <w:rFonts w:cs="Arial"/>
          <w:lang w:val="it-IT"/>
        </w:rPr>
      </w:pPr>
      <w:r>
        <w:rPr>
          <w:rFonts w:cs="Arial"/>
          <w:lang w:val="it-IT"/>
        </w:rPr>
        <w:t xml:space="preserve">La versione originale degli standard EFI è stata accorciata escludendo alcuni sotto capitoli. I capitoli che sono stati mantenuti, così come i sotto capitoli, </w:t>
      </w:r>
      <w:r>
        <w:rPr>
          <w:rFonts w:cs="Arial"/>
          <w:u w:val="single"/>
          <w:lang w:val="it-IT"/>
        </w:rPr>
        <w:t>corrispondono parola per parola alle standard EFI</w:t>
      </w:r>
      <w:r>
        <w:rPr>
          <w:rFonts w:cs="Arial"/>
          <w:lang w:val="it-IT"/>
        </w:rPr>
        <w:t xml:space="preserve"> (per usi futuri degli standard EFI).  </w:t>
      </w:r>
    </w:p>
    <w:p w14:paraId="4C7D7A79" w14:textId="77777777" w:rsidR="00EF4BEC" w:rsidRDefault="009E2ACD">
      <w:pPr>
        <w:rPr>
          <w:rFonts w:cs="Arial"/>
          <w:lang w:val="it-IT"/>
        </w:rPr>
      </w:pPr>
      <w:r>
        <w:rPr>
          <w:rFonts w:cs="Arial"/>
          <w:lang w:val="it-IT"/>
        </w:rPr>
        <w:t>L’EFI ha dato il suo consenso all’utilizzo delle sue direttive per il capitolo 11 «Standards for Molecular Blood Group Typing».</w:t>
      </w:r>
    </w:p>
    <w:p w14:paraId="04D064F4" w14:textId="77777777" w:rsidR="00EF4BEC" w:rsidRDefault="009E2ACD">
      <w:pPr>
        <w:rPr>
          <w:rFonts w:cs="Arial"/>
          <w:lang w:val="it-IT"/>
        </w:rPr>
      </w:pPr>
      <w:r>
        <w:rPr>
          <w:rFonts w:cs="Arial"/>
          <w:lang w:val="it-IT"/>
        </w:rPr>
        <w:t xml:space="preserve">Riassunto delle referenze alla determinazione in biologia molecolare dei gruppi sanguigni, negli altri capitoli di questo documento: </w:t>
      </w:r>
    </w:p>
    <w:p w14:paraId="49BD94D2" w14:textId="77777777" w:rsidR="00EF4BEC" w:rsidRDefault="009E2ACD">
      <w:pPr>
        <w:rPr>
          <w:rFonts w:cs="Arial"/>
          <w:b/>
          <w:lang w:val="it-IT"/>
        </w:rPr>
      </w:pPr>
      <w:r>
        <w:rPr>
          <w:rFonts w:cs="Arial"/>
          <w:b/>
          <w:lang w:val="it-IT"/>
        </w:rPr>
        <w:t>1)</w:t>
      </w:r>
      <w:r>
        <w:rPr>
          <w:rFonts w:cs="Arial"/>
          <w:b/>
          <w:lang w:val="it-IT"/>
        </w:rPr>
        <w:tab/>
        <w:t>3.3.2</w:t>
      </w:r>
      <w:r>
        <w:rPr>
          <w:rFonts w:cs="Arial"/>
          <w:b/>
          <w:lang w:val="it-IT"/>
        </w:rPr>
        <w:tab/>
        <w:t xml:space="preserve">Controlli di qualità esterni </w:t>
      </w:r>
    </w:p>
    <w:p w14:paraId="09030E44" w14:textId="77777777" w:rsidR="00EF4BEC" w:rsidRDefault="009E2ACD">
      <w:pPr>
        <w:rPr>
          <w:rFonts w:cs="Arial"/>
          <w:b/>
          <w:lang w:val="it-IT"/>
        </w:rPr>
      </w:pPr>
      <w:r>
        <w:rPr>
          <w:rFonts w:cs="Arial"/>
          <w:b/>
          <w:lang w:val="it-IT"/>
        </w:rPr>
        <w:t>2)</w:t>
      </w:r>
      <w:r>
        <w:rPr>
          <w:rFonts w:cs="Arial"/>
          <w:b/>
          <w:lang w:val="it-IT"/>
        </w:rPr>
        <w:tab/>
        <w:t>5</w:t>
      </w:r>
      <w:r>
        <w:rPr>
          <w:rFonts w:cs="Arial"/>
          <w:b/>
          <w:lang w:val="it-IT"/>
        </w:rPr>
        <w:tab/>
        <w:t>Analisi immunoematologiche</w:t>
      </w:r>
    </w:p>
    <w:p w14:paraId="5546EF3D" w14:textId="77777777" w:rsidR="00EF4BEC" w:rsidRDefault="009E2ACD">
      <w:pPr>
        <w:rPr>
          <w:rFonts w:cs="Arial"/>
          <w:b/>
          <w:lang w:val="it-IT"/>
        </w:rPr>
      </w:pPr>
      <w:r>
        <w:rPr>
          <w:rFonts w:cs="Arial"/>
          <w:b/>
          <w:lang w:val="it-IT"/>
        </w:rPr>
        <w:t>3)</w:t>
      </w:r>
      <w:r>
        <w:rPr>
          <w:rFonts w:cs="Arial"/>
          <w:b/>
          <w:lang w:val="it-IT"/>
        </w:rPr>
        <w:tab/>
        <w:t>5.1.2</w:t>
      </w:r>
      <w:r>
        <w:rPr>
          <w:rFonts w:cs="Arial"/>
          <w:b/>
          <w:lang w:val="it-IT"/>
        </w:rPr>
        <w:tab/>
        <w:t xml:space="preserve">Risultato e interpretazione della determinazione del gruppo sanguigno ABO </w:t>
      </w:r>
    </w:p>
    <w:p w14:paraId="1D54DB44" w14:textId="768A3E5A" w:rsidR="00EF4BEC" w:rsidRDefault="009E2ACD">
      <w:pPr>
        <w:rPr>
          <w:rFonts w:cs="Arial"/>
          <w:b/>
          <w:lang w:val="it-IT"/>
        </w:rPr>
      </w:pPr>
      <w:r>
        <w:rPr>
          <w:rFonts w:cs="Arial"/>
          <w:b/>
          <w:lang w:val="it-IT"/>
        </w:rPr>
        <w:t>4)</w:t>
      </w:r>
      <w:r>
        <w:rPr>
          <w:rFonts w:cs="Arial"/>
          <w:b/>
          <w:lang w:val="it-IT"/>
        </w:rPr>
        <w:tab/>
        <w:t>5.1.3</w:t>
      </w:r>
      <w:r>
        <w:rPr>
          <w:rFonts w:cs="Arial"/>
          <w:b/>
          <w:lang w:val="it-IT"/>
        </w:rPr>
        <w:tab/>
        <w:t>Risultato e interpretazione della determinazione dell’antigene RH1</w:t>
      </w:r>
    </w:p>
    <w:p w14:paraId="5B6C8CF4" w14:textId="3086FBA1" w:rsidR="00EF4BEC" w:rsidRDefault="009E2ACD">
      <w:pPr>
        <w:rPr>
          <w:rFonts w:cs="Arial"/>
          <w:b/>
          <w:lang w:val="it-IT"/>
        </w:rPr>
      </w:pPr>
      <w:r>
        <w:rPr>
          <w:rFonts w:cs="Arial"/>
          <w:b/>
          <w:lang w:val="it-IT"/>
        </w:rPr>
        <w:t>5)</w:t>
      </w:r>
      <w:r>
        <w:rPr>
          <w:rFonts w:cs="Arial"/>
          <w:b/>
          <w:lang w:val="it-IT"/>
        </w:rPr>
        <w:tab/>
        <w:t>7.1.3</w:t>
      </w:r>
      <w:r>
        <w:rPr>
          <w:rFonts w:cs="Arial"/>
          <w:b/>
          <w:lang w:val="it-IT"/>
        </w:rPr>
        <w:tab/>
        <w:t xml:space="preserve">Donne in gravidanza con varianti RH1 </w:t>
      </w:r>
    </w:p>
    <w:p w14:paraId="6E6850E4" w14:textId="77777777" w:rsidR="00EF4BEC" w:rsidRDefault="009E2ACD">
      <w:pPr>
        <w:rPr>
          <w:rFonts w:cs="Arial"/>
          <w:b/>
          <w:lang w:val="it-IT"/>
        </w:rPr>
      </w:pPr>
      <w:r>
        <w:rPr>
          <w:rFonts w:cs="Arial"/>
          <w:b/>
          <w:lang w:val="it-IT"/>
        </w:rPr>
        <w:t>6)</w:t>
      </w:r>
      <w:r>
        <w:rPr>
          <w:rFonts w:cs="Arial"/>
          <w:b/>
          <w:lang w:val="it-IT"/>
        </w:rPr>
        <w:tab/>
        <w:t>7.1.4</w:t>
      </w:r>
      <w:r>
        <w:rPr>
          <w:rFonts w:cs="Arial"/>
          <w:b/>
          <w:lang w:val="it-IT"/>
        </w:rPr>
        <w:tab/>
        <w:t xml:space="preserve">Determinazione fetale RHD da sangue materno </w:t>
      </w:r>
    </w:p>
    <w:p w14:paraId="32F43C61" w14:textId="77777777" w:rsidR="00EF4BEC" w:rsidRDefault="009E2ACD">
      <w:pPr>
        <w:rPr>
          <w:rFonts w:cs="Arial"/>
          <w:b/>
          <w:lang w:val="it-IT"/>
        </w:rPr>
      </w:pPr>
      <w:r>
        <w:rPr>
          <w:rFonts w:cs="Arial"/>
          <w:b/>
          <w:lang w:val="it-IT"/>
        </w:rPr>
        <w:t>7)</w:t>
      </w:r>
      <w:r>
        <w:rPr>
          <w:rFonts w:cs="Arial"/>
          <w:b/>
          <w:lang w:val="it-IT"/>
        </w:rPr>
        <w:tab/>
        <w:t>7.3</w:t>
      </w:r>
      <w:r>
        <w:rPr>
          <w:rFonts w:cs="Arial"/>
          <w:b/>
          <w:lang w:val="it-IT"/>
        </w:rPr>
        <w:tab/>
        <w:t>Analisi nel bambino dai quattro mesi</w:t>
      </w:r>
    </w:p>
    <w:p w14:paraId="5EBD3153" w14:textId="77777777" w:rsidR="00EF4BEC" w:rsidRDefault="009E2ACD">
      <w:pPr>
        <w:rPr>
          <w:rFonts w:cs="Arial"/>
          <w:b/>
          <w:lang w:val="it-IT"/>
        </w:rPr>
      </w:pPr>
      <w:r>
        <w:rPr>
          <w:rFonts w:cs="Arial"/>
          <w:b/>
          <w:lang w:val="it-IT"/>
        </w:rPr>
        <w:t>8)</w:t>
      </w:r>
      <w:r>
        <w:rPr>
          <w:rFonts w:cs="Arial"/>
          <w:b/>
          <w:lang w:val="it-IT"/>
        </w:rPr>
        <w:tab/>
        <w:t>8.1.3</w:t>
      </w:r>
      <w:r>
        <w:rPr>
          <w:rFonts w:cs="Arial"/>
          <w:b/>
          <w:lang w:val="it-IT"/>
        </w:rPr>
        <w:tab/>
        <w:t>Scelta di altri antigeni di gruppo sanguigno</w:t>
      </w:r>
    </w:p>
    <w:p w14:paraId="1B1A200F" w14:textId="77777777" w:rsidR="00EF4BEC" w:rsidRDefault="009E2ACD">
      <w:pPr>
        <w:rPr>
          <w:rFonts w:cs="Arial"/>
          <w:b/>
          <w:lang w:val="it-IT"/>
        </w:rPr>
        <w:sectPr w:rsidR="00EF4BEC" w:rsidSect="00B83906">
          <w:pgSz w:w="11906" w:h="16838"/>
          <w:pgMar w:top="1417" w:right="1417" w:bottom="709" w:left="1417" w:header="708" w:footer="18" w:gutter="0"/>
          <w:cols w:space="708"/>
          <w:docGrid w:linePitch="360"/>
        </w:sectPr>
      </w:pPr>
      <w:r>
        <w:rPr>
          <w:rFonts w:cs="Arial"/>
          <w:b/>
          <w:lang w:val="it-IT"/>
        </w:rPr>
        <w:t>9)</w:t>
      </w:r>
      <w:r>
        <w:rPr>
          <w:rFonts w:cs="Arial"/>
          <w:b/>
          <w:lang w:val="it-IT"/>
        </w:rPr>
        <w:tab/>
        <w:t>8.1.3.3</w:t>
      </w:r>
      <w:r>
        <w:rPr>
          <w:rFonts w:cs="Arial"/>
          <w:b/>
          <w:lang w:val="it-IT"/>
        </w:rPr>
        <w:tab/>
        <w:t>Altre indicazioni per la scelta di CE feno-/genotipizzati</w:t>
      </w:r>
      <w:bookmarkStart w:id="178" w:name="_Toc177962456"/>
      <w:bookmarkStart w:id="179" w:name="_Toc232384704"/>
    </w:p>
    <w:tbl>
      <w:tblPr>
        <w:tblW w:w="9131" w:type="dxa"/>
        <w:tblInd w:w="55" w:type="dxa"/>
        <w:tblCellMar>
          <w:left w:w="70" w:type="dxa"/>
          <w:right w:w="70" w:type="dxa"/>
        </w:tblCellMar>
        <w:tblLook w:val="04A0" w:firstRow="1" w:lastRow="0" w:firstColumn="1" w:lastColumn="0" w:noHBand="0" w:noVBand="1"/>
      </w:tblPr>
      <w:tblGrid>
        <w:gridCol w:w="274"/>
        <w:gridCol w:w="363"/>
        <w:gridCol w:w="252"/>
        <w:gridCol w:w="240"/>
        <w:gridCol w:w="4083"/>
        <w:gridCol w:w="185"/>
        <w:gridCol w:w="2083"/>
        <w:gridCol w:w="185"/>
        <w:gridCol w:w="674"/>
        <w:gridCol w:w="185"/>
        <w:gridCol w:w="607"/>
      </w:tblGrid>
      <w:tr w:rsidR="00EF4BEC" w:rsidRPr="007C6931" w14:paraId="6F21EF28"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4CB04C" w14:textId="77777777" w:rsidR="00EF4BEC" w:rsidRDefault="00EF4BEC">
            <w:pPr>
              <w:rPr>
                <w:lang w:val="it-IT" w:eastAsia="de-CH"/>
              </w:rPr>
            </w:pP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142D14" w14:textId="77777777" w:rsidR="00EF4BEC" w:rsidRDefault="00EF4BEC">
            <w:pPr>
              <w:rPr>
                <w:lang w:val="it-IT"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120719" w14:textId="77777777" w:rsidR="00EF4BEC" w:rsidRDefault="00EF4BEC">
            <w:pPr>
              <w:rPr>
                <w:lang w:val="it-IT"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A711B7" w14:textId="77777777" w:rsidR="00EF4BEC" w:rsidRDefault="00EF4BEC">
            <w:pPr>
              <w:rPr>
                <w:lang w:val="it-IT" w:eastAsia="de-CH"/>
              </w:rPr>
            </w:pPr>
          </w:p>
        </w:tc>
        <w:tc>
          <w:tcPr>
            <w:tcW w:w="4083"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vAlign w:val="bottom"/>
          </w:tcPr>
          <w:p w14:paraId="745F65D4" w14:textId="77777777" w:rsidR="00EF4BEC" w:rsidRDefault="009E2ACD">
            <w:pPr>
              <w:rPr>
                <w:lang w:val="en-US" w:eastAsia="de-CH"/>
              </w:rPr>
            </w:pPr>
            <w:r>
              <w:rPr>
                <w:lang w:val="en-US" w:eastAsia="de-CH"/>
              </w:rPr>
              <w:t>A. Applications of molecular</w:t>
            </w:r>
            <w:r>
              <w:rPr>
                <w:lang w:val="en-US" w:eastAsia="de-CH"/>
              </w:rPr>
              <w:br/>
              <w:t>blood group detection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0AD279BE"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47952E16"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4115E772"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005CD802"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04D7852B" w14:textId="77777777" w:rsidR="00EF4BEC" w:rsidRDefault="00EF4BEC">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5B1C7E30" w14:textId="77777777" w:rsidR="00EF4BEC" w:rsidRDefault="00EF4BEC">
            <w:pPr>
              <w:rPr>
                <w:lang w:val="en-US" w:eastAsia="de-CH"/>
              </w:rPr>
            </w:pPr>
          </w:p>
        </w:tc>
      </w:tr>
      <w:tr w:rsidR="00EF4BEC" w14:paraId="736AD4E0"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E0C4ED" w14:textId="77777777" w:rsidR="00EF4BEC" w:rsidRDefault="00EF4BEC">
            <w:pPr>
              <w:rPr>
                <w:lang w:val="en-US" w:eastAsia="de-CH"/>
              </w:rPr>
            </w:pP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EF6115"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6C4A2E"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66A19A" w14:textId="77777777" w:rsidR="00EF4BEC" w:rsidRDefault="00EF4BEC">
            <w:pPr>
              <w:rPr>
                <w:lang w:val="en-US"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07525116" w14:textId="77777777" w:rsidR="00EF4BEC" w:rsidRDefault="009E2ACD">
            <w:pPr>
              <w:rPr>
                <w:lang w:val="en-US" w:eastAsia="de-CH"/>
              </w:rPr>
            </w:pPr>
            <w:r>
              <w:rPr>
                <w:lang w:val="en-US" w:eastAsia="de-CH"/>
              </w:rPr>
              <w:t>* donor genotyping is not topic of this recommendation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BFD7F0C"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46FFE931" w14:textId="77777777" w:rsidR="00EF4BEC" w:rsidRDefault="009E2ACD">
            <w:pPr>
              <w:rPr>
                <w:lang w:eastAsia="de-CH"/>
              </w:rPr>
            </w:pPr>
            <w:r>
              <w:rPr>
                <w:lang w:eastAsia="de-CH"/>
              </w:rPr>
              <w:t>comments and examples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2A1E420" w14:textId="77777777" w:rsidR="00EF4BEC" w:rsidRDefault="00EF4BEC">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77B98BF8" w14:textId="77777777" w:rsidR="00EF4BEC" w:rsidRDefault="009E2ACD">
            <w:pPr>
              <w:rPr>
                <w:lang w:eastAsia="de-CH"/>
              </w:rPr>
            </w:pPr>
            <w:r>
              <w:rPr>
                <w:lang w:eastAsia="de-CH"/>
              </w:rPr>
              <w:t>reci-pients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43B9BF6"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1DDAF161" w14:textId="77777777" w:rsidR="00EF4BEC" w:rsidRDefault="009E2ACD">
            <w:pPr>
              <w:rPr>
                <w:lang w:eastAsia="de-CH"/>
              </w:rPr>
            </w:pPr>
            <w:r>
              <w:rPr>
                <w:lang w:eastAsia="de-CH"/>
              </w:rPr>
              <w:t>do-nors*</w:t>
            </w:r>
          </w:p>
        </w:tc>
      </w:tr>
      <w:tr w:rsidR="00EF4BEC" w14:paraId="00D01161"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758FE2"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1DAA58"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1CB242"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EF61F8"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8E58AF" w14:textId="77777777" w:rsidR="00EF4BEC" w:rsidRDefault="009E2ACD">
            <w:pPr>
              <w:rPr>
                <w:lang w:eastAsia="de-CH"/>
              </w:rPr>
            </w:pPr>
            <w:r>
              <w:rPr>
                <w:lang w:eastAsia="de-CH"/>
              </w:rPr>
              <w:t>Clarification of serological prevalues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ED197F" w14:textId="77777777" w:rsidR="00EF4BEC" w:rsidRDefault="00EF4BEC">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F81ADD"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2B88B3" w14:textId="77777777" w:rsidR="00EF4BEC" w:rsidRDefault="00EF4BEC">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E27EA88"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5D4363"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0EF20F4" w14:textId="77777777" w:rsidR="00EF4BEC" w:rsidRDefault="00EF4BEC">
            <w:pPr>
              <w:rPr>
                <w:lang w:eastAsia="de-CH"/>
              </w:rPr>
            </w:pPr>
          </w:p>
        </w:tc>
      </w:tr>
      <w:tr w:rsidR="00EF4BEC" w14:paraId="3F26AD60"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375675"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FCA463"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3B661E"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C98C59"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1A317D" w14:textId="77777777" w:rsidR="00EF4BEC" w:rsidRDefault="009E2ACD">
            <w:pPr>
              <w:rPr>
                <w:lang w:val="en-US" w:eastAsia="de-CH"/>
              </w:rPr>
            </w:pPr>
            <w:r>
              <w:rPr>
                <w:lang w:val="en-US" w:eastAsia="de-CH"/>
              </w:rPr>
              <w:t>ABO antigen and isoagglutinin dicrepancies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E94553"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1574D7"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2304755"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12D38A9"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E36864"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5288943" w14:textId="77777777" w:rsidR="00EF4BEC" w:rsidRDefault="009E2ACD">
            <w:pPr>
              <w:rPr>
                <w:lang w:eastAsia="de-CH"/>
              </w:rPr>
            </w:pPr>
            <w:r>
              <w:rPr>
                <w:lang w:eastAsia="de-CH"/>
              </w:rPr>
              <w:t>+</w:t>
            </w:r>
          </w:p>
        </w:tc>
      </w:tr>
      <w:tr w:rsidR="00EF4BEC" w14:paraId="6F4B03EB"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D61424"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CF81DF"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B604DB"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E50BEB"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06FF5A" w14:textId="77777777" w:rsidR="00EF4BEC" w:rsidRDefault="009E2ACD">
            <w:pPr>
              <w:rPr>
                <w:lang w:eastAsia="de-CH"/>
              </w:rPr>
            </w:pPr>
            <w:r>
              <w:rPr>
                <w:i/>
                <w:iCs/>
                <w:lang w:eastAsia="de-CH"/>
              </w:rPr>
              <w:t>RHD</w:t>
            </w:r>
            <w:r>
              <w:rPr>
                <w:lang w:eastAsia="de-CH"/>
              </w:rPr>
              <w:t xml:space="preserve"> categories and partials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7EF663" w14:textId="77777777" w:rsidR="00EF4BEC" w:rsidRDefault="00EF4BEC">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BF13DF"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6A3F07" w14:textId="77777777" w:rsidR="00EF4BEC" w:rsidRDefault="00EF4BEC">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600FAC3"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A0D132"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A865A82" w14:textId="77777777" w:rsidR="00EF4BEC" w:rsidRDefault="009E2ACD">
            <w:pPr>
              <w:rPr>
                <w:lang w:eastAsia="de-CH"/>
              </w:rPr>
            </w:pPr>
            <w:r>
              <w:rPr>
                <w:lang w:eastAsia="de-CH"/>
              </w:rPr>
              <w:t>+</w:t>
            </w:r>
          </w:p>
        </w:tc>
      </w:tr>
      <w:tr w:rsidR="00EF4BEC" w14:paraId="594A3FDA"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E22E48"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1646D1"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A77E6B"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A99515"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C901AC" w14:textId="77777777" w:rsidR="00EF4BEC" w:rsidRDefault="009E2ACD">
            <w:pPr>
              <w:rPr>
                <w:lang w:val="en-US" w:eastAsia="de-CH"/>
              </w:rPr>
            </w:pPr>
            <w:r>
              <w:rPr>
                <w:lang w:val="en-US" w:eastAsia="de-CH"/>
              </w:rPr>
              <w:t>Antigens reacting discrepant with different moAB (all blood groups)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52026C"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33A208"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DBDA9B"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35E5403"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C9B98E"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9E0347B" w14:textId="77777777" w:rsidR="00EF4BEC" w:rsidRDefault="009E2ACD">
            <w:pPr>
              <w:rPr>
                <w:lang w:eastAsia="de-CH"/>
              </w:rPr>
            </w:pPr>
            <w:r>
              <w:rPr>
                <w:lang w:eastAsia="de-CH"/>
              </w:rPr>
              <w:t>+</w:t>
            </w:r>
          </w:p>
        </w:tc>
      </w:tr>
      <w:tr w:rsidR="00EF4BEC" w:rsidRPr="007C6931" w14:paraId="0D4CB866"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8080FD"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E127E1"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C39E88"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A59F4B"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DD02EC" w14:textId="77777777" w:rsidR="00EF4BEC" w:rsidRDefault="009E2ACD">
            <w:pPr>
              <w:rPr>
                <w:lang w:val="en-US" w:eastAsia="de-CH"/>
              </w:rPr>
            </w:pPr>
            <w:r>
              <w:rPr>
                <w:lang w:val="en-US" w:eastAsia="de-CH"/>
              </w:rPr>
              <w:t>Presence of antibodies (all blood groups)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C5E92F"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8F748E"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776C89"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98BB4D7"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A55354" w14:textId="77777777" w:rsidR="00EF4BEC" w:rsidRDefault="00EF4BEC">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47A9256" w14:textId="77777777" w:rsidR="00EF4BEC" w:rsidRDefault="00EF4BEC">
            <w:pPr>
              <w:rPr>
                <w:lang w:val="en-US" w:eastAsia="de-CH"/>
              </w:rPr>
            </w:pPr>
          </w:p>
        </w:tc>
      </w:tr>
      <w:tr w:rsidR="00EF4BEC" w14:paraId="56921025"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4ADBA6"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D94ACA"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171F45"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176585"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9E75C9" w14:textId="77777777" w:rsidR="00EF4BEC" w:rsidRDefault="009E2ACD">
            <w:pPr>
              <w:rPr>
                <w:lang w:eastAsia="de-CH"/>
              </w:rPr>
            </w:pPr>
            <w:r>
              <w:rPr>
                <w:lang w:eastAsia="de-CH"/>
              </w:rPr>
              <w:t>Presence of allo-antibody</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196B06" w14:textId="77777777" w:rsidR="00EF4BEC" w:rsidRDefault="00EF4BEC">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2B9834"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7AC042" w14:textId="77777777" w:rsidR="00EF4BEC" w:rsidRDefault="00EF4BEC">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92E74C0"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41BC3E"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2DF9635" w14:textId="77777777" w:rsidR="00EF4BEC" w:rsidRDefault="009E2ACD">
            <w:pPr>
              <w:rPr>
                <w:lang w:eastAsia="de-CH"/>
              </w:rPr>
            </w:pPr>
            <w:r>
              <w:rPr>
                <w:lang w:eastAsia="de-CH"/>
              </w:rPr>
              <w:t>+</w:t>
            </w:r>
          </w:p>
        </w:tc>
      </w:tr>
      <w:tr w:rsidR="00EF4BEC" w14:paraId="0988BEA7" w14:textId="77777777">
        <w:trPr>
          <w:trHeight w:val="298"/>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8251AE"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8462D0"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CFC743"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1C3F5D"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B7AD73" w14:textId="77777777" w:rsidR="00EF4BEC" w:rsidRDefault="009E2ACD">
            <w:pPr>
              <w:rPr>
                <w:lang w:eastAsia="de-CH"/>
              </w:rPr>
            </w:pPr>
            <w:r>
              <w:rPr>
                <w:lang w:eastAsia="de-CH"/>
              </w:rPr>
              <w:t>Presence of auto-antibody</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85E661" w14:textId="77777777" w:rsidR="00EF4BEC" w:rsidRDefault="00EF4BEC">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E3C34B"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C80CF4" w14:textId="77777777" w:rsidR="00EF4BEC" w:rsidRDefault="00EF4BEC">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4A5DE74"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54050C"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4526F68" w14:textId="77777777" w:rsidR="00EF4BEC" w:rsidRDefault="009E2ACD">
            <w:pPr>
              <w:rPr>
                <w:lang w:eastAsia="de-CH"/>
              </w:rPr>
            </w:pPr>
            <w:r>
              <w:rPr>
                <w:lang w:eastAsia="de-CH"/>
              </w:rPr>
              <w:t>+</w:t>
            </w:r>
          </w:p>
        </w:tc>
      </w:tr>
      <w:tr w:rsidR="00EF4BEC" w:rsidRPr="007C6931" w14:paraId="416793B7"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06C649"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F1D282"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25A5F6"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5C94F4"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CB0C2A" w14:textId="77777777" w:rsidR="00EF4BEC" w:rsidRDefault="009E2ACD">
            <w:pPr>
              <w:rPr>
                <w:lang w:val="en-US" w:eastAsia="de-CH"/>
              </w:rPr>
            </w:pPr>
            <w:r>
              <w:rPr>
                <w:lang w:val="en-US" w:eastAsia="de-CH"/>
              </w:rPr>
              <w:t>Determination of weakly agglutinating antigens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9E7197"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786887"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4EBF23"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8076F1D"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3E9DBA" w14:textId="77777777" w:rsidR="00EF4BEC" w:rsidRDefault="00EF4BEC">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D35BB83" w14:textId="77777777" w:rsidR="00EF4BEC" w:rsidRDefault="00EF4BEC">
            <w:pPr>
              <w:rPr>
                <w:lang w:val="en-US" w:eastAsia="de-CH"/>
              </w:rPr>
            </w:pPr>
          </w:p>
        </w:tc>
      </w:tr>
      <w:tr w:rsidR="00EF4BEC" w14:paraId="43A9D5A0" w14:textId="77777777">
        <w:trPr>
          <w:trHeight w:val="67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9AA886"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3FFCBC"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CFB341"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1CA14D"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64D4E7" w14:textId="77777777" w:rsidR="00EF4BEC" w:rsidRDefault="009E2ACD">
            <w:pPr>
              <w:rPr>
                <w:lang w:val="en-US" w:eastAsia="de-CH"/>
              </w:rPr>
            </w:pPr>
            <w:r>
              <w:rPr>
                <w:lang w:val="en-US" w:eastAsia="de-CH"/>
              </w:rPr>
              <w:t xml:space="preserve">Determination of </w:t>
            </w:r>
            <w:r>
              <w:rPr>
                <w:i/>
                <w:lang w:val="en-US" w:eastAsia="de-CH"/>
              </w:rPr>
              <w:t>RHD*01W.01/.02/.03 (RHD*weak D type 1/2/3)</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4851CB"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76DB92" w14:textId="77777777" w:rsidR="00EF4BEC" w:rsidRDefault="009E2ACD">
            <w:pPr>
              <w:rPr>
                <w:lang w:val="en-US" w:eastAsia="de-CH"/>
              </w:rPr>
            </w:pPr>
            <w:r>
              <w:rPr>
                <w:lang w:val="en-US" w:eastAsia="de-CH"/>
              </w:rPr>
              <w:t>recommended for girls and women under the age of 50</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D26680"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2B31D16"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6F8DA2"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E998C57" w14:textId="77777777" w:rsidR="00EF4BEC" w:rsidRDefault="009E2ACD">
            <w:pPr>
              <w:rPr>
                <w:lang w:eastAsia="de-CH"/>
              </w:rPr>
            </w:pPr>
            <w:r>
              <w:rPr>
                <w:lang w:eastAsia="de-CH"/>
              </w:rPr>
              <w:t>+</w:t>
            </w:r>
          </w:p>
        </w:tc>
      </w:tr>
      <w:tr w:rsidR="00EF4BEC" w14:paraId="7CFBA54C"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7523CE"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EB7704"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41C4D9"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297DFE"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D345D9" w14:textId="0B486A35" w:rsidR="00EF4BEC" w:rsidRDefault="009E2ACD">
            <w:pPr>
              <w:rPr>
                <w:lang w:val="en-US" w:eastAsia="de-CH"/>
              </w:rPr>
            </w:pPr>
            <w:r>
              <w:rPr>
                <w:lang w:val="en-US" w:eastAsia="de-CH"/>
              </w:rPr>
              <w:t xml:space="preserve">Determination of RH:W1 other than </w:t>
            </w:r>
            <w:r>
              <w:rPr>
                <w:i/>
                <w:lang w:val="en-US" w:eastAsia="de-CH"/>
              </w:rPr>
              <w:t>RHD*01W.01/.02/.03 (RHD*weak D type 1/2/3)</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2B8819"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110113"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62EF26"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77D55F4"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57409E"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456B21C" w14:textId="77777777" w:rsidR="00EF4BEC" w:rsidRDefault="009E2ACD">
            <w:pPr>
              <w:rPr>
                <w:lang w:eastAsia="de-CH"/>
              </w:rPr>
            </w:pPr>
            <w:r>
              <w:rPr>
                <w:lang w:eastAsia="de-CH"/>
              </w:rPr>
              <w:t>+</w:t>
            </w:r>
          </w:p>
        </w:tc>
      </w:tr>
      <w:tr w:rsidR="00EF4BEC" w14:paraId="311F9C1B"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015F9A"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BD6EB0"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4C2450"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19EAC1"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4FB1D9" w14:textId="77777777" w:rsidR="00EF4BEC" w:rsidRDefault="009E2ACD">
            <w:pPr>
              <w:rPr>
                <w:lang w:val="en-US" w:eastAsia="de-CH"/>
              </w:rPr>
            </w:pPr>
            <w:r>
              <w:rPr>
                <w:lang w:val="en-US" w:eastAsia="de-CH"/>
              </w:rPr>
              <w:t>Determination of antigens with weak agglutination of all blood groups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66B377"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FFA9B5"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1E578D"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7118B0C"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10287F"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1EE6183" w14:textId="77777777" w:rsidR="00EF4BEC" w:rsidRDefault="009E2ACD">
            <w:pPr>
              <w:rPr>
                <w:lang w:eastAsia="de-CH"/>
              </w:rPr>
            </w:pPr>
            <w:r>
              <w:rPr>
                <w:lang w:eastAsia="de-CH"/>
              </w:rPr>
              <w:t>+</w:t>
            </w:r>
          </w:p>
        </w:tc>
      </w:tr>
      <w:tr w:rsidR="00EF4BEC" w:rsidRPr="007C6931" w14:paraId="0644223D"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B49686"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FF4D93" w14:textId="77777777" w:rsidR="00EF4BEC" w:rsidRDefault="009E2ACD">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4FD166"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8211D76"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73DE74" w14:textId="77777777" w:rsidR="00EF4BEC" w:rsidRDefault="009E2ACD">
            <w:pPr>
              <w:rPr>
                <w:lang w:val="en-US" w:eastAsia="de-CH"/>
              </w:rPr>
            </w:pPr>
            <w:r>
              <w:rPr>
                <w:lang w:val="en-US" w:eastAsia="de-CH"/>
              </w:rPr>
              <w:t>Determination of antigens only detectable by adsorption/elution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29F6E2"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F127EC"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957143"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B26D9CE"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7E6BBC" w14:textId="77777777" w:rsidR="00EF4BEC" w:rsidRDefault="00EF4BEC">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8F7D21A" w14:textId="77777777" w:rsidR="00EF4BEC" w:rsidRDefault="00EF4BEC">
            <w:pPr>
              <w:rPr>
                <w:lang w:val="en-US" w:eastAsia="de-CH"/>
              </w:rPr>
            </w:pPr>
          </w:p>
        </w:tc>
      </w:tr>
      <w:tr w:rsidR="00EF4BEC" w14:paraId="19195420"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E23C1F"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2979C8" w14:textId="77777777" w:rsidR="00EF4BEC" w:rsidRDefault="009E2ACD">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31C5B2"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7A27E9"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5A055E" w14:textId="741F3C28" w:rsidR="00EF4BEC" w:rsidRDefault="009E2ACD">
            <w:pPr>
              <w:rPr>
                <w:lang w:val="en-US" w:eastAsia="de-CH"/>
              </w:rPr>
            </w:pPr>
            <w:r>
              <w:rPr>
                <w:lang w:val="en-US" w:eastAsia="de-CH"/>
              </w:rPr>
              <w:t>Detection of RH1 antigens only detectable by adsorption/elution (“</w:t>
            </w:r>
            <w:r>
              <w:rPr>
                <w:i/>
                <w:lang w:val="en-US" w:eastAsia="de-CH"/>
              </w:rPr>
              <w:t>RHD*01EL,</w:t>
            </w:r>
            <w:r>
              <w:rPr>
                <w:lang w:val="en-US" w:eastAsia="de-CH"/>
              </w:rPr>
              <w:t xml:space="preserve"> Del”)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8C93F5"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14E94F" w14:textId="6D53C09E" w:rsidR="00EF4BEC" w:rsidRDefault="009E2ACD">
            <w:pPr>
              <w:rPr>
                <w:lang w:val="en-US" w:eastAsia="de-CH"/>
              </w:rPr>
            </w:pPr>
            <w:r>
              <w:rPr>
                <w:lang w:val="en-US" w:eastAsia="de-CH"/>
              </w:rPr>
              <w:t xml:space="preserve">also in screening for </w:t>
            </w:r>
            <w:r>
              <w:rPr>
                <w:i/>
                <w:iCs/>
                <w:lang w:val="en-US" w:eastAsia="de-CH"/>
              </w:rPr>
              <w:t>RHD</w:t>
            </w:r>
            <w:r>
              <w:rPr>
                <w:lang w:val="en-US" w:eastAsia="de-CH"/>
              </w:rPr>
              <w:t xml:space="preserve"> in RH:–1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47443B"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9115EAD"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6A0B7B"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1475875" w14:textId="77777777" w:rsidR="00EF4BEC" w:rsidRDefault="009E2ACD">
            <w:pPr>
              <w:rPr>
                <w:lang w:eastAsia="de-CH"/>
              </w:rPr>
            </w:pPr>
            <w:r>
              <w:rPr>
                <w:lang w:eastAsia="de-CH"/>
              </w:rPr>
              <w:t>+</w:t>
            </w:r>
          </w:p>
        </w:tc>
      </w:tr>
      <w:tr w:rsidR="00EF4BEC" w14:paraId="6FABCC8B"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BD1E5F"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431F0B" w14:textId="77777777" w:rsidR="00EF4BEC" w:rsidRDefault="009E2ACD">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0ABEA4"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4064A8"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625B05" w14:textId="77777777" w:rsidR="00EF4BEC" w:rsidRDefault="009E2ACD">
            <w:pPr>
              <w:rPr>
                <w:lang w:val="en-US" w:eastAsia="de-CH"/>
              </w:rPr>
            </w:pPr>
            <w:r>
              <w:rPr>
                <w:lang w:val="en-US" w:eastAsia="de-CH"/>
              </w:rPr>
              <w:t xml:space="preserve">Detection of antigens only detectable by adsorption/elution of all blood groups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4AAE6C"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7125CBF"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7CDA5C"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ED1E67F"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845F45"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2479854" w14:textId="77777777" w:rsidR="00EF4BEC" w:rsidRDefault="009E2ACD">
            <w:pPr>
              <w:rPr>
                <w:lang w:eastAsia="de-CH"/>
              </w:rPr>
            </w:pPr>
            <w:r>
              <w:rPr>
                <w:lang w:eastAsia="de-CH"/>
              </w:rPr>
              <w:t>+</w:t>
            </w:r>
          </w:p>
        </w:tc>
      </w:tr>
      <w:tr w:rsidR="00EF4BEC" w14:paraId="423617FA"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D2DE44"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A5B497"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0DCF2F"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D21F1C"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003143" w14:textId="77777777" w:rsidR="00EF4BEC" w:rsidRDefault="009E2ACD">
            <w:pPr>
              <w:rPr>
                <w:lang w:val="en-US" w:eastAsia="de-CH"/>
              </w:rPr>
            </w:pPr>
            <w:r>
              <w:rPr>
                <w:lang w:val="en-US" w:eastAsia="de-CH"/>
              </w:rPr>
              <w:t>Clarification of geno-/phenotype discrepancies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6ECB1B"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7296B7"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0C9E07"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517718C"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6BDD34"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811E975" w14:textId="77777777" w:rsidR="00EF4BEC" w:rsidRDefault="009E2ACD">
            <w:pPr>
              <w:rPr>
                <w:lang w:eastAsia="de-CH"/>
              </w:rPr>
            </w:pPr>
            <w:r>
              <w:rPr>
                <w:lang w:eastAsia="de-CH"/>
              </w:rPr>
              <w:t>+</w:t>
            </w:r>
          </w:p>
        </w:tc>
      </w:tr>
      <w:tr w:rsidR="00EF4BEC" w14:paraId="760CAD6F"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42AFEE"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641CB3"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ADAD55"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DF7976"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4366B3" w14:textId="77777777" w:rsidR="00EF4BEC" w:rsidRDefault="009E2ACD">
            <w:pPr>
              <w:rPr>
                <w:lang w:val="en-US" w:eastAsia="de-CH"/>
              </w:rPr>
            </w:pPr>
            <w:r>
              <w:rPr>
                <w:lang w:val="en-US" w:eastAsia="de-CH"/>
              </w:rPr>
              <w:t>Case phenotype correct positive, genotype false negative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C7E222"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3AFB8E" w14:textId="77777777" w:rsidR="00EF4BEC" w:rsidRDefault="009E2ACD">
            <w:pPr>
              <w:rPr>
                <w:lang w:val="en-US" w:eastAsia="de-CH"/>
              </w:rPr>
            </w:pPr>
            <w:r>
              <w:rPr>
                <w:lang w:val="en-US" w:eastAsia="de-CH"/>
              </w:rPr>
              <w:t>e.g. alleles with “primer-binding-site” mutations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D16230"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8B0789E"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10338D"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9964CC9" w14:textId="77777777" w:rsidR="00EF4BEC" w:rsidRDefault="009E2ACD">
            <w:pPr>
              <w:rPr>
                <w:lang w:eastAsia="de-CH"/>
              </w:rPr>
            </w:pPr>
            <w:r>
              <w:rPr>
                <w:lang w:eastAsia="de-CH"/>
              </w:rPr>
              <w:t>+</w:t>
            </w:r>
          </w:p>
        </w:tc>
      </w:tr>
      <w:tr w:rsidR="00EF4BEC" w14:paraId="4472445C"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66632C"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F785E5"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D88626"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9F1F46"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77F6E23" w14:textId="77777777" w:rsidR="00EF4BEC" w:rsidRDefault="009E2ACD">
            <w:pPr>
              <w:rPr>
                <w:lang w:val="en-US" w:eastAsia="de-CH"/>
              </w:rPr>
            </w:pPr>
            <w:r>
              <w:rPr>
                <w:lang w:val="en-US" w:eastAsia="de-CH"/>
              </w:rPr>
              <w:t>Case phenotype correct negative, genotype false positive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B106EA"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62FC73" w14:textId="77777777" w:rsidR="00EF4BEC" w:rsidRDefault="009E2ACD">
            <w:pPr>
              <w:rPr>
                <w:lang w:val="en-US" w:eastAsia="de-CH"/>
              </w:rPr>
            </w:pPr>
            <w:r>
              <w:rPr>
                <w:lang w:val="en-US" w:eastAsia="de-CH"/>
              </w:rPr>
              <w:t>“null alleles”, recognised by carrying an N in ISBT term</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7B9F84"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9A37FB0"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6682FE"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7BC0E02" w14:textId="77777777" w:rsidR="00EF4BEC" w:rsidRDefault="009E2ACD">
            <w:pPr>
              <w:rPr>
                <w:lang w:eastAsia="de-CH"/>
              </w:rPr>
            </w:pPr>
            <w:r>
              <w:rPr>
                <w:lang w:eastAsia="de-CH"/>
              </w:rPr>
              <w:t>+</w:t>
            </w:r>
          </w:p>
        </w:tc>
      </w:tr>
      <w:tr w:rsidR="00EF4BEC" w14:paraId="5825E1F9" w14:textId="77777777">
        <w:trPr>
          <w:trHeight w:val="90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B54AE5"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072C5A"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3D4797"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F07653"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F81B67" w14:textId="77777777" w:rsidR="00EF4BEC" w:rsidRDefault="009E2ACD">
            <w:pPr>
              <w:rPr>
                <w:lang w:val="en-US" w:eastAsia="de-CH"/>
              </w:rPr>
            </w:pPr>
            <w:r>
              <w:rPr>
                <w:lang w:val="en-US" w:eastAsia="de-CH"/>
              </w:rPr>
              <w:t>Case phenotype false positive, genotype correct negative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4022AC"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7EFBD3" w14:textId="77777777" w:rsidR="00EF4BEC" w:rsidRDefault="009E2ACD">
            <w:pPr>
              <w:rPr>
                <w:lang w:val="en-US"/>
              </w:rPr>
            </w:pPr>
            <w:r>
              <w:rPr>
                <w:i/>
                <w:iCs/>
                <w:lang w:val="en-US" w:eastAsia="de-CH"/>
              </w:rPr>
              <w:t>RHD*01N.06</w:t>
            </w:r>
            <w:r>
              <w:rPr>
                <w:lang w:val="en-US" w:eastAsia="de-CH"/>
              </w:rPr>
              <w:t xml:space="preserve"> (DCeS) with pseudo RH2 (C), though genetically RH2 (C) negative. </w:t>
            </w:r>
            <w:r>
              <w:rPr>
                <w:lang w:val="en-US"/>
              </w:rPr>
              <w:t xml:space="preserve">MNS15 </w:t>
            </w:r>
            <w:r>
              <w:rPr>
                <w:lang w:val="en-US" w:eastAsia="de-CH"/>
              </w:rPr>
              <w:t>(St</w:t>
            </w:r>
            <w:r>
              <w:rPr>
                <w:vertAlign w:val="superscript"/>
                <w:lang w:val="en-US" w:eastAsia="de-CH"/>
              </w:rPr>
              <w:t>a</w:t>
            </w:r>
            <w:r>
              <w:rPr>
                <w:lang w:val="en-US" w:eastAsia="de-CH"/>
              </w:rPr>
              <w:t>) /</w:t>
            </w:r>
            <w:r>
              <w:rPr>
                <w:lang w:val="en-US"/>
              </w:rPr>
              <w:t xml:space="preserve"> GYP*401 alleles of MNS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8F913D" w14:textId="77777777" w:rsidR="00EF4BEC" w:rsidRDefault="00EF4BEC">
            <w:pPr>
              <w:rPr>
                <w:lang w:val="en-US"/>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6C3A4DB"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983B47"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D26E4D6" w14:textId="77777777" w:rsidR="00EF4BEC" w:rsidRDefault="009E2ACD">
            <w:pPr>
              <w:rPr>
                <w:lang w:eastAsia="de-CH"/>
              </w:rPr>
            </w:pPr>
            <w:r>
              <w:rPr>
                <w:lang w:eastAsia="de-CH"/>
              </w:rPr>
              <w:t>+</w:t>
            </w:r>
          </w:p>
        </w:tc>
      </w:tr>
      <w:tr w:rsidR="00EF4BEC" w14:paraId="0C8909FD"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5AED97"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59956A"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C6025D" w14:textId="77777777" w:rsidR="00EF4BEC" w:rsidRDefault="009E2ACD">
            <w:pPr>
              <w:rPr>
                <w:lang w:eastAsia="de-CH"/>
              </w:rPr>
            </w:pPr>
            <w:r>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557131"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E4429D" w14:textId="77777777" w:rsidR="00EF4BEC" w:rsidRDefault="009E2ACD">
            <w:pPr>
              <w:rPr>
                <w:lang w:val="en-US" w:eastAsia="de-CH"/>
              </w:rPr>
            </w:pPr>
            <w:r>
              <w:rPr>
                <w:lang w:val="en-US" w:eastAsia="de-CH"/>
              </w:rPr>
              <w:t>Case phenotype false negative, genotype correct positive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DC4465"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38BBD8" w14:textId="77777777" w:rsidR="00EF4BEC" w:rsidRDefault="009E2ACD">
            <w:pPr>
              <w:rPr>
                <w:lang w:val="it-IT" w:eastAsia="de-CH"/>
              </w:rPr>
            </w:pPr>
            <w:r>
              <w:rPr>
                <w:lang w:val="it-IT" w:eastAsia="de-CH"/>
              </w:rPr>
              <w:t>e.g. RHD*01EL.01</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8B2F8D" w14:textId="77777777" w:rsidR="00EF4BEC" w:rsidRDefault="00EF4BEC">
            <w:pPr>
              <w:rPr>
                <w:lang w:val="it-IT"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EAC0537"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511CBF"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AC89856" w14:textId="77777777" w:rsidR="00EF4BEC" w:rsidRDefault="009E2ACD">
            <w:pPr>
              <w:rPr>
                <w:lang w:eastAsia="de-CH"/>
              </w:rPr>
            </w:pPr>
            <w:r>
              <w:rPr>
                <w:lang w:eastAsia="de-CH"/>
              </w:rPr>
              <w:t>+</w:t>
            </w:r>
          </w:p>
        </w:tc>
      </w:tr>
      <w:tr w:rsidR="00EF4BEC" w:rsidRPr="007C6931" w14:paraId="74522759"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50F439"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B5E2DC" w14:textId="77777777" w:rsidR="00EF4BEC" w:rsidRDefault="009E2ACD">
            <w:pPr>
              <w:rPr>
                <w:lang w:eastAsia="de-CH"/>
              </w:rPr>
            </w:pPr>
            <w:r>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CCD596"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2A9E2D"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031783" w14:textId="4111516E" w:rsidR="00EF4BEC" w:rsidRDefault="009E2ACD">
            <w:pPr>
              <w:rPr>
                <w:lang w:val="en-US" w:eastAsia="de-CH"/>
              </w:rPr>
            </w:pPr>
            <w:r>
              <w:rPr>
                <w:lang w:val="en-US" w:eastAsia="de-CH"/>
              </w:rPr>
              <w:t xml:space="preserve">Screening for </w:t>
            </w:r>
            <w:r>
              <w:rPr>
                <w:i/>
                <w:iCs/>
                <w:lang w:val="en-US" w:eastAsia="de-CH"/>
              </w:rPr>
              <w:t>RHD</w:t>
            </w:r>
            <w:r>
              <w:rPr>
                <w:lang w:val="en-US" w:eastAsia="de-CH"/>
              </w:rPr>
              <w:t xml:space="preserve"> among RH:–1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A9DD66"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9F5F9B"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239713"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4677E9C"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70DDD3" w14:textId="77777777" w:rsidR="00EF4BEC" w:rsidRDefault="00EF4BEC">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1FA8F24" w14:textId="77777777" w:rsidR="00EF4BEC" w:rsidRDefault="00EF4BEC">
            <w:pPr>
              <w:rPr>
                <w:lang w:val="en-US" w:eastAsia="de-CH"/>
              </w:rPr>
            </w:pPr>
          </w:p>
        </w:tc>
      </w:tr>
      <w:tr w:rsidR="00EF4BEC" w14:paraId="4A9896B6"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BC8848" w14:textId="77777777" w:rsidR="00EF4BEC" w:rsidRDefault="009E2ACD">
            <w:pPr>
              <w:rPr>
                <w:lang w:eastAsia="de-CH"/>
              </w:rPr>
            </w:pPr>
            <w:r>
              <w:rPr>
                <w:lang w:eastAsia="de-CH"/>
              </w:rPr>
              <w:lastRenderedPageBreak/>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C4EAE0" w14:textId="77777777" w:rsidR="00EF4BEC" w:rsidRDefault="009E2ACD">
            <w:pPr>
              <w:rPr>
                <w:lang w:eastAsia="de-CH"/>
              </w:rPr>
            </w:pPr>
            <w:r>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738079"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14676B"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D035F6" w14:textId="506DAF51" w:rsidR="00EF4BEC" w:rsidRDefault="009E2ACD">
            <w:pPr>
              <w:rPr>
                <w:lang w:val="en-US" w:eastAsia="de-CH"/>
              </w:rPr>
            </w:pPr>
            <w:r>
              <w:rPr>
                <w:lang w:val="en-US" w:eastAsia="de-CH"/>
              </w:rPr>
              <w:t xml:space="preserve">Detection of RH1-negative </w:t>
            </w:r>
            <w:r>
              <w:rPr>
                <w:i/>
                <w:iCs/>
                <w:lang w:val="en-US" w:eastAsia="de-CH"/>
              </w:rPr>
              <w:t>RHD-CE-D</w:t>
            </w:r>
            <w:r>
              <w:rPr>
                <w:lang w:val="en-US" w:eastAsia="de-CH"/>
              </w:rPr>
              <w:t xml:space="preserve"> hybrid alleles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B2D9C9"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59CF6F"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779FE1"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B3D4A50"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58B528"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B2A8E0F" w14:textId="77777777" w:rsidR="00EF4BEC" w:rsidRDefault="009E2ACD">
            <w:pPr>
              <w:rPr>
                <w:lang w:eastAsia="de-CH"/>
              </w:rPr>
            </w:pPr>
            <w:r>
              <w:rPr>
                <w:lang w:eastAsia="de-CH"/>
              </w:rPr>
              <w:t>+</w:t>
            </w:r>
          </w:p>
        </w:tc>
      </w:tr>
      <w:tr w:rsidR="00EF4BEC" w14:paraId="6A0CC404"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DAA5F9"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1E23D7" w14:textId="77777777" w:rsidR="00EF4BEC" w:rsidRDefault="009E2ACD">
            <w:pPr>
              <w:rPr>
                <w:lang w:eastAsia="de-CH"/>
              </w:rPr>
            </w:pPr>
            <w:r>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51B58A"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AE3F14"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B6DB33" w14:textId="1AEBA5C6" w:rsidR="00EF4BEC" w:rsidRDefault="009E2ACD">
            <w:pPr>
              <w:rPr>
                <w:lang w:val="en-US" w:eastAsia="de-CH"/>
              </w:rPr>
            </w:pPr>
            <w:r>
              <w:rPr>
                <w:lang w:val="en-US" w:eastAsia="de-CH"/>
              </w:rPr>
              <w:t xml:space="preserve">Detection of unexpressed (RH:–1) </w:t>
            </w:r>
            <w:r>
              <w:rPr>
                <w:i/>
                <w:lang w:val="en-US" w:eastAsia="de-CH"/>
              </w:rPr>
              <w:t>RHD</w:t>
            </w:r>
            <w:r>
              <w:rPr>
                <w:lang w:val="en-US" w:eastAsia="de-CH"/>
              </w:rPr>
              <w:t xml:space="preserve"> genes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0413F5"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7E9570"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37D80F"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1688047"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0E12EA"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3F85CCD" w14:textId="77777777" w:rsidR="00EF4BEC" w:rsidRDefault="009E2ACD">
            <w:pPr>
              <w:rPr>
                <w:lang w:eastAsia="de-CH"/>
              </w:rPr>
            </w:pPr>
            <w:r>
              <w:rPr>
                <w:lang w:eastAsia="de-CH"/>
              </w:rPr>
              <w:t>+</w:t>
            </w:r>
          </w:p>
        </w:tc>
      </w:tr>
      <w:tr w:rsidR="00EF4BEC" w14:paraId="752CAFA6"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6C8B95B" w14:textId="77777777" w:rsidR="00EF4BEC" w:rsidRDefault="00EF4BEC">
            <w:pPr>
              <w:rPr>
                <w:lang w:eastAsia="de-CH"/>
              </w:rPr>
            </w:pPr>
          </w:p>
        </w:tc>
        <w:tc>
          <w:tcPr>
            <w:tcW w:w="363"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D7B7AC0"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520F569"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C7398EF"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39BECFDB"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838E5E3"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69D833CB"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647D607" w14:textId="77777777" w:rsidR="00EF4BEC" w:rsidRDefault="00EF4BEC">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vAlign w:val="center"/>
          </w:tcPr>
          <w:p w14:paraId="2CEA97DF"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ED10ADF"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vAlign w:val="center"/>
          </w:tcPr>
          <w:p w14:paraId="749AE413" w14:textId="77777777" w:rsidR="00EF4BEC" w:rsidRDefault="00EF4BEC">
            <w:pPr>
              <w:rPr>
                <w:lang w:eastAsia="de-CH"/>
              </w:rPr>
            </w:pPr>
          </w:p>
        </w:tc>
      </w:tr>
      <w:tr w:rsidR="00EF4BEC" w:rsidRPr="007C6931" w14:paraId="21102C70"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5B7228"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37564E" w14:textId="77777777" w:rsidR="00EF4BEC" w:rsidRDefault="009E2ACD">
            <w:pPr>
              <w:rPr>
                <w:lang w:eastAsia="de-CH"/>
              </w:rPr>
            </w:pPr>
            <w:r>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F6A5C8"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42D361"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B41564" w14:textId="77777777" w:rsidR="00EF4BEC" w:rsidRDefault="009E2ACD">
            <w:pPr>
              <w:rPr>
                <w:lang w:val="en-US" w:eastAsia="de-CH"/>
              </w:rPr>
            </w:pPr>
            <w:r>
              <w:rPr>
                <w:lang w:val="en-US" w:eastAsia="de-CH"/>
              </w:rPr>
              <w:t>Detection of blood groups in case no commercial reagents for serological detection are available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A57F6A"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15B011"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105C9C"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9BD9DBE"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597064" w14:textId="77777777" w:rsidR="00EF4BEC" w:rsidRDefault="00EF4BEC">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4399B86" w14:textId="77777777" w:rsidR="00EF4BEC" w:rsidRDefault="00EF4BEC">
            <w:pPr>
              <w:rPr>
                <w:lang w:val="en-US" w:eastAsia="de-CH"/>
              </w:rPr>
            </w:pPr>
          </w:p>
        </w:tc>
      </w:tr>
      <w:tr w:rsidR="00EF4BEC" w14:paraId="467589B7"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85867A"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84BC3B" w14:textId="77777777" w:rsidR="00EF4BEC" w:rsidRDefault="009E2ACD">
            <w:pPr>
              <w:rPr>
                <w:lang w:eastAsia="de-CH"/>
              </w:rPr>
            </w:pPr>
            <w:r>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35E8F8"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373B27"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E4FE78" w14:textId="77777777" w:rsidR="00EF4BEC" w:rsidRDefault="009E2ACD">
            <w:pPr>
              <w:rPr>
                <w:lang w:val="en-US" w:eastAsia="de-CH"/>
              </w:rPr>
            </w:pPr>
            <w:r>
              <w:rPr>
                <w:lang w:val="en-US" w:eastAsia="de-CH"/>
              </w:rPr>
              <w:t>Detection of Dombrock blood group system</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02F704"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CB41D9" w14:textId="77777777" w:rsidR="00EF4BEC" w:rsidRDefault="009E2ACD">
            <w:pPr>
              <w:rPr>
                <w:highlight w:val="yellow"/>
                <w:lang w:val="en-US"/>
              </w:rPr>
            </w:pPr>
            <w:r>
              <w:rPr>
                <w:lang w:val="en-US"/>
              </w:rPr>
              <w:t>DO1</w:t>
            </w:r>
            <w:r>
              <w:rPr>
                <w:lang w:val="en-US" w:eastAsia="de-CH"/>
              </w:rPr>
              <w:t xml:space="preserve"> (Do</w:t>
            </w:r>
            <w:r>
              <w:rPr>
                <w:vertAlign w:val="superscript"/>
                <w:lang w:val="en-US" w:eastAsia="de-CH"/>
              </w:rPr>
              <w:t>a</w:t>
            </w:r>
            <w:r>
              <w:rPr>
                <w:lang w:val="en-US" w:eastAsia="de-CH"/>
              </w:rPr>
              <w:t xml:space="preserve">) / </w:t>
            </w:r>
            <w:r>
              <w:rPr>
                <w:lang w:val="en-US"/>
              </w:rPr>
              <w:t>DO2</w:t>
            </w:r>
            <w:r>
              <w:rPr>
                <w:lang w:val="en-US" w:eastAsia="de-CH"/>
              </w:rPr>
              <w:t xml:space="preserve"> (Do</w:t>
            </w:r>
            <w:r>
              <w:rPr>
                <w:vertAlign w:val="superscript"/>
                <w:lang w:val="en-US" w:eastAsia="de-CH"/>
              </w:rPr>
              <w:t>b</w:t>
            </w:r>
            <w:r>
              <w:rPr>
                <w:lang w:val="en-US" w:eastAsia="de-CH"/>
              </w:rPr>
              <w:t>),</w:t>
            </w:r>
            <w:r>
              <w:rPr>
                <w:lang w:val="en-US"/>
              </w:rPr>
              <w:t xml:space="preserve"> LU18</w:t>
            </w:r>
            <w:r>
              <w:rPr>
                <w:lang w:val="en-US" w:eastAsia="de-CH"/>
              </w:rPr>
              <w:t xml:space="preserve"> (Lu18) / </w:t>
            </w:r>
            <w:r>
              <w:rPr>
                <w:lang w:val="en-US"/>
              </w:rPr>
              <w:t>LU19</w:t>
            </w:r>
            <w:r>
              <w:rPr>
                <w:lang w:val="en-US" w:eastAsia="de-CH"/>
              </w:rPr>
              <w:t xml:space="preserve"> (Lu19)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AA0EB4" w14:textId="77777777" w:rsidR="00EF4BEC" w:rsidRDefault="00EF4BEC">
            <w:pPr>
              <w:rPr>
                <w:lang w:val="en-US"/>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F02E64E"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4A3326"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299198B" w14:textId="77777777" w:rsidR="00EF4BEC" w:rsidRDefault="009E2ACD">
            <w:pPr>
              <w:rPr>
                <w:lang w:eastAsia="de-CH"/>
              </w:rPr>
            </w:pPr>
            <w:r>
              <w:rPr>
                <w:lang w:eastAsia="de-CH"/>
              </w:rPr>
              <w:t>+</w:t>
            </w:r>
          </w:p>
        </w:tc>
      </w:tr>
      <w:tr w:rsidR="00EF4BEC" w14:paraId="154AE3DF"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310F5F"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276A7B" w14:textId="77777777" w:rsidR="00EF4BEC" w:rsidRDefault="009E2ACD">
            <w:pPr>
              <w:rPr>
                <w:lang w:eastAsia="de-CH"/>
              </w:rPr>
            </w:pPr>
            <w:r>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2CC8A6"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1A6B97"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9E26D2" w14:textId="77777777" w:rsidR="00EF4BEC" w:rsidRDefault="009E2ACD">
            <w:pPr>
              <w:rPr>
                <w:lang w:val="en-US" w:eastAsia="de-CH"/>
              </w:rPr>
            </w:pPr>
            <w:r>
              <w:rPr>
                <w:lang w:val="en-US" w:eastAsia="de-CH"/>
              </w:rPr>
              <w:t>Rare blood group antigens / high frequency antigen (HFA) negatives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440B26"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6C9EE0" w14:textId="77777777" w:rsidR="00EF4BEC" w:rsidRDefault="009E2ACD">
            <w:pPr>
              <w:rPr>
                <w:highlight w:val="yellow"/>
                <w:lang w:val="it-IT"/>
              </w:rPr>
            </w:pPr>
            <w:r>
              <w:rPr>
                <w:lang w:val="it-IT"/>
              </w:rPr>
              <w:t>DI1</w:t>
            </w:r>
            <w:r>
              <w:rPr>
                <w:lang w:val="it-IT" w:eastAsia="de-CH"/>
              </w:rPr>
              <w:t xml:space="preserve"> (Di</w:t>
            </w:r>
            <w:r>
              <w:rPr>
                <w:vertAlign w:val="superscript"/>
                <w:lang w:val="it-IT" w:eastAsia="de-CH"/>
              </w:rPr>
              <w:t>a</w:t>
            </w:r>
            <w:r>
              <w:rPr>
                <w:lang w:val="it-IT" w:eastAsia="de-CH"/>
              </w:rPr>
              <w:t xml:space="preserve">) / </w:t>
            </w:r>
            <w:r>
              <w:rPr>
                <w:lang w:val="it-IT"/>
              </w:rPr>
              <w:t>DI2</w:t>
            </w:r>
            <w:r>
              <w:rPr>
                <w:lang w:val="it-IT" w:eastAsia="de-CH"/>
              </w:rPr>
              <w:t xml:space="preserve"> (Di</w:t>
            </w:r>
            <w:r>
              <w:rPr>
                <w:vertAlign w:val="superscript"/>
                <w:lang w:val="it-IT" w:eastAsia="de-CH"/>
              </w:rPr>
              <w:t>b</w:t>
            </w:r>
            <w:r>
              <w:rPr>
                <w:lang w:val="it-IT" w:eastAsia="de-CH"/>
              </w:rPr>
              <w:t>),</w:t>
            </w:r>
            <w:r>
              <w:rPr>
                <w:lang w:val="it-IT"/>
              </w:rPr>
              <w:t xml:space="preserve"> SC1</w:t>
            </w:r>
            <w:r>
              <w:rPr>
                <w:lang w:val="it-IT" w:eastAsia="de-CH"/>
              </w:rPr>
              <w:t xml:space="preserve"> (Sc1) / </w:t>
            </w:r>
            <w:r>
              <w:rPr>
                <w:lang w:val="it-IT"/>
              </w:rPr>
              <w:t>SC2</w:t>
            </w:r>
            <w:r>
              <w:rPr>
                <w:lang w:val="it-IT" w:eastAsia="de-CH"/>
              </w:rPr>
              <w:t xml:space="preserve"> (Sc2)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17CAC5" w14:textId="77777777" w:rsidR="00EF4BEC" w:rsidRDefault="00EF4BEC">
            <w:pPr>
              <w:rPr>
                <w:lang w:val="it-IT"/>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7CAC7C7"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5ED976"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6C9583D" w14:textId="77777777" w:rsidR="00EF4BEC" w:rsidRDefault="009E2ACD">
            <w:pPr>
              <w:rPr>
                <w:lang w:eastAsia="de-CH"/>
              </w:rPr>
            </w:pPr>
            <w:r>
              <w:rPr>
                <w:lang w:eastAsia="de-CH"/>
              </w:rPr>
              <w:t>+</w:t>
            </w:r>
          </w:p>
        </w:tc>
      </w:tr>
      <w:tr w:rsidR="00EF4BEC" w14:paraId="12CDA924"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148EF7"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BD9956" w14:textId="77777777" w:rsidR="00EF4BEC" w:rsidRDefault="009E2ACD">
            <w:pPr>
              <w:rPr>
                <w:lang w:eastAsia="de-CH"/>
              </w:rPr>
            </w:pPr>
            <w:r>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B0389A"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786D46"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04DDB0" w14:textId="77777777" w:rsidR="00EF4BEC" w:rsidRDefault="009E2ACD">
            <w:pPr>
              <w:rPr>
                <w:lang w:val="en-US" w:eastAsia="de-CH"/>
              </w:rPr>
            </w:pPr>
            <w:r>
              <w:rPr>
                <w:lang w:val="en-US" w:eastAsia="de-CH"/>
              </w:rPr>
              <w:t>Rare blood group antigens of defined ethnicities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B978D0"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5C8F2B" w14:textId="77777777" w:rsidR="00EF4BEC" w:rsidRDefault="009E2ACD">
            <w:pPr>
              <w:rPr>
                <w:highlight w:val="yellow"/>
                <w:lang w:val="en-US"/>
              </w:rPr>
            </w:pPr>
            <w:r>
              <w:rPr>
                <w:lang w:val="en-US" w:eastAsia="de-CH"/>
              </w:rPr>
              <w:t>e.g. RH10 (V), RH20 (VS), RH31 (Rh31), IN1 (In</w:t>
            </w:r>
            <w:r>
              <w:rPr>
                <w:vertAlign w:val="superscript"/>
                <w:lang w:val="en-US" w:eastAsia="de-CH"/>
              </w:rPr>
              <w:t>a</w:t>
            </w:r>
            <w:r>
              <w:rPr>
                <w:lang w:val="en-US" w:eastAsia="de-CH"/>
              </w:rPr>
              <w:t>) / IN2 (In</w:t>
            </w:r>
            <w:r>
              <w:rPr>
                <w:vertAlign w:val="superscript"/>
                <w:lang w:val="en-US" w:eastAsia="de-CH"/>
              </w:rPr>
              <w:t>b</w:t>
            </w:r>
            <w:r>
              <w:rPr>
                <w:lang w:val="en-US"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ED22A9"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A579685"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364017"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54568AE" w14:textId="77777777" w:rsidR="00EF4BEC" w:rsidRDefault="009E2ACD">
            <w:pPr>
              <w:rPr>
                <w:lang w:eastAsia="de-CH"/>
              </w:rPr>
            </w:pPr>
            <w:r>
              <w:rPr>
                <w:lang w:eastAsia="de-CH"/>
              </w:rPr>
              <w:t>+</w:t>
            </w:r>
          </w:p>
        </w:tc>
      </w:tr>
      <w:tr w:rsidR="00EF4BEC" w14:paraId="4444CFC0"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DE79F4"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F98877" w14:textId="77777777" w:rsidR="00EF4BEC" w:rsidRDefault="009E2ACD">
            <w:pPr>
              <w:rPr>
                <w:lang w:eastAsia="de-CH"/>
              </w:rPr>
            </w:pPr>
            <w:r>
              <w:rPr>
                <w:lang w:eastAsia="de-CH"/>
              </w:rPr>
              <w:t>8</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F51CC4"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5D5563"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A163B3" w14:textId="77777777" w:rsidR="00EF4BEC" w:rsidRDefault="009E2ACD">
            <w:pPr>
              <w:rPr>
                <w:lang w:eastAsia="de-CH"/>
              </w:rPr>
            </w:pPr>
            <w:r>
              <w:rPr>
                <w:lang w:eastAsia="de-CH"/>
              </w:rPr>
              <w:t>Prenatal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7A8E5E" w14:textId="77777777" w:rsidR="00EF4BEC" w:rsidRDefault="00EF4BEC">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B460CD"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F294C7" w14:textId="77777777" w:rsidR="00EF4BEC" w:rsidRDefault="00EF4BEC">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0427D3F"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CBA364"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C481470" w14:textId="77777777" w:rsidR="00EF4BEC" w:rsidRDefault="00EF4BEC">
            <w:pPr>
              <w:rPr>
                <w:lang w:eastAsia="de-CH"/>
              </w:rPr>
            </w:pPr>
          </w:p>
        </w:tc>
      </w:tr>
      <w:tr w:rsidR="00EF4BEC" w14:paraId="6E170EAF"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E2C208"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3A791B" w14:textId="77777777" w:rsidR="00EF4BEC" w:rsidRDefault="009E2ACD">
            <w:pPr>
              <w:rPr>
                <w:lang w:eastAsia="de-CH"/>
              </w:rPr>
            </w:pPr>
            <w:r>
              <w:rPr>
                <w:lang w:eastAsia="de-CH"/>
              </w:rPr>
              <w:t>8</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44F698"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B513BC"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C3106E" w14:textId="77777777" w:rsidR="00EF4BEC" w:rsidRDefault="009E2ACD">
            <w:pPr>
              <w:rPr>
                <w:lang w:val="en-US" w:eastAsia="de-CH"/>
              </w:rPr>
            </w:pPr>
            <w:r>
              <w:rPr>
                <w:lang w:val="en-US" w:eastAsia="de-CH"/>
              </w:rPr>
              <w:t>Prenatal detection of blood groups from fetal material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5A0CA1"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A32698"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0C9891"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A45E817"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E5861C"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E56AC26" w14:textId="77777777" w:rsidR="00EF4BEC" w:rsidRDefault="009E2ACD">
            <w:pPr>
              <w:rPr>
                <w:lang w:eastAsia="de-CH"/>
              </w:rPr>
            </w:pPr>
            <w:r>
              <w:rPr>
                <w:lang w:eastAsia="de-CH"/>
              </w:rPr>
              <w:t>–</w:t>
            </w:r>
          </w:p>
        </w:tc>
      </w:tr>
      <w:tr w:rsidR="00EF4BEC" w:rsidRPr="007C6931" w14:paraId="21C76297"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9B4A76"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844026" w14:textId="77777777" w:rsidR="00EF4BEC" w:rsidRDefault="009E2ACD">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9DBCE2"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640416"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FDC5F6" w14:textId="77777777" w:rsidR="00EF4BEC" w:rsidRDefault="009E2ACD">
            <w:pPr>
              <w:rPr>
                <w:lang w:val="en-US" w:eastAsia="de-CH"/>
              </w:rPr>
            </w:pPr>
            <w:r>
              <w:rPr>
                <w:lang w:val="en-US" w:eastAsia="de-CH"/>
              </w:rPr>
              <w:t>Blood group assessment in special clinical situations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A065E1"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7137B6"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732C31"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3731CEF"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29BB17" w14:textId="77777777" w:rsidR="00EF4BEC" w:rsidRDefault="00EF4BEC">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5FB3905" w14:textId="77777777" w:rsidR="00EF4BEC" w:rsidRDefault="00EF4BEC">
            <w:pPr>
              <w:rPr>
                <w:lang w:val="en-US" w:eastAsia="de-CH"/>
              </w:rPr>
            </w:pPr>
          </w:p>
        </w:tc>
      </w:tr>
      <w:tr w:rsidR="00EF4BEC" w14:paraId="4D6E26ED"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1DF24D"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E55DB3" w14:textId="77777777" w:rsidR="00EF4BEC" w:rsidRDefault="009E2ACD">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485AE4"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D3C5E1"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5B158A" w14:textId="77777777" w:rsidR="00EF4BEC" w:rsidRDefault="009E2ACD">
            <w:pPr>
              <w:rPr>
                <w:lang w:val="en-US" w:eastAsia="de-CH"/>
              </w:rPr>
            </w:pPr>
            <w:r>
              <w:rPr>
                <w:lang w:val="en-US" w:eastAsia="de-CH"/>
              </w:rPr>
              <w:t>Mol. BG determination in polytransfused patients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562FF2"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79FE1A"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160536"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7D2B353"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362E4D"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E9B0DD2" w14:textId="77777777" w:rsidR="00EF4BEC" w:rsidRDefault="009E2ACD">
            <w:pPr>
              <w:rPr>
                <w:lang w:eastAsia="de-CH"/>
              </w:rPr>
            </w:pPr>
            <w:r>
              <w:rPr>
                <w:lang w:eastAsia="de-CH"/>
              </w:rPr>
              <w:t>–</w:t>
            </w:r>
          </w:p>
        </w:tc>
      </w:tr>
      <w:tr w:rsidR="00EF4BEC" w14:paraId="3CBD363A"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D832D5"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22DBF7" w14:textId="77777777" w:rsidR="00EF4BEC" w:rsidRDefault="009E2ACD">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5D4A41"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F669F1"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4B2395" w14:textId="77777777" w:rsidR="00EF4BEC" w:rsidRDefault="009E2ACD">
            <w:pPr>
              <w:rPr>
                <w:lang w:val="en-US" w:eastAsia="de-CH"/>
              </w:rPr>
            </w:pPr>
            <w:r>
              <w:rPr>
                <w:lang w:val="en-US" w:eastAsia="de-CH"/>
              </w:rPr>
              <w:t>Mol. BG determination in DAT-positive individuals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A0ED96"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C760E5"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DCFD05"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7E37BC4"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0FC49A"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0F61CD7" w14:textId="77777777" w:rsidR="00EF4BEC" w:rsidRDefault="009E2ACD">
            <w:pPr>
              <w:rPr>
                <w:lang w:eastAsia="de-CH"/>
              </w:rPr>
            </w:pPr>
            <w:r>
              <w:rPr>
                <w:lang w:eastAsia="de-CH"/>
              </w:rPr>
              <w:t>–</w:t>
            </w:r>
          </w:p>
        </w:tc>
      </w:tr>
      <w:tr w:rsidR="00EF4BEC" w14:paraId="6156B29A"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D62BE8"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5F3F25" w14:textId="77777777" w:rsidR="00EF4BEC" w:rsidRDefault="009E2ACD">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063C70"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499844"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631AAD" w14:textId="77777777" w:rsidR="00EF4BEC" w:rsidRDefault="009E2ACD">
            <w:pPr>
              <w:rPr>
                <w:lang w:val="en-US" w:eastAsia="de-CH"/>
              </w:rPr>
            </w:pPr>
            <w:r>
              <w:rPr>
                <w:lang w:val="en-US" w:eastAsia="de-CH"/>
              </w:rPr>
              <w:t>Monoclonal hematopoiesis (loss of BG alleles)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0364F8"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455D54"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1A342F"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350D2A8"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AE39DD"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CEED463" w14:textId="77777777" w:rsidR="00EF4BEC" w:rsidRDefault="009E2ACD">
            <w:pPr>
              <w:rPr>
                <w:lang w:eastAsia="de-CH"/>
              </w:rPr>
            </w:pPr>
            <w:r>
              <w:rPr>
                <w:lang w:eastAsia="de-CH"/>
              </w:rPr>
              <w:t>–</w:t>
            </w:r>
          </w:p>
        </w:tc>
      </w:tr>
      <w:tr w:rsidR="00EF4BEC" w14:paraId="4EB3476C"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0EB993"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F2315E" w14:textId="77777777" w:rsidR="00EF4BEC" w:rsidRDefault="009E2ACD">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5CAB62" w14:textId="77777777" w:rsidR="00EF4BEC" w:rsidRDefault="009E2ACD">
            <w:pPr>
              <w:rPr>
                <w:lang w:eastAsia="de-CH"/>
              </w:rPr>
            </w:pPr>
            <w:r>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2785F9"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4B8437" w14:textId="77777777" w:rsidR="00EF4BEC" w:rsidRDefault="009E2ACD">
            <w:pPr>
              <w:rPr>
                <w:lang w:eastAsia="de-CH"/>
              </w:rPr>
            </w:pPr>
            <w:r>
              <w:rPr>
                <w:lang w:eastAsia="de-CH"/>
              </w:rPr>
              <w:t>Post stem cell transplantation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1BF4E5" w14:textId="77777777" w:rsidR="00EF4BEC" w:rsidRDefault="00EF4BEC">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8EB089" w14:textId="77777777" w:rsidR="00EF4BEC" w:rsidRDefault="00EF4BEC">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174C37" w14:textId="77777777" w:rsidR="00EF4BEC" w:rsidRDefault="00EF4BEC">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4D3B70A"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21EB67"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550900F" w14:textId="77777777" w:rsidR="00EF4BEC" w:rsidRDefault="009E2ACD">
            <w:pPr>
              <w:rPr>
                <w:lang w:eastAsia="de-CH"/>
              </w:rPr>
            </w:pPr>
            <w:r>
              <w:rPr>
                <w:lang w:eastAsia="de-CH"/>
              </w:rPr>
              <w:t>–</w:t>
            </w:r>
          </w:p>
        </w:tc>
      </w:tr>
      <w:tr w:rsidR="00EF4BEC" w14:paraId="28286223"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C7C802"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50E365" w14:textId="77777777" w:rsidR="00EF4BEC" w:rsidRDefault="009E2ACD">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307E64" w14:textId="77777777" w:rsidR="00EF4BEC" w:rsidRDefault="009E2ACD">
            <w:pPr>
              <w:rPr>
                <w:lang w:eastAsia="de-CH"/>
              </w:rPr>
            </w:pPr>
            <w:r>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6DC754"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84A4E1" w14:textId="77777777" w:rsidR="00EF4BEC" w:rsidRDefault="009E2ACD">
            <w:pPr>
              <w:rPr>
                <w:lang w:val="en-US" w:eastAsia="de-CH"/>
              </w:rPr>
            </w:pPr>
            <w:r>
              <w:rPr>
                <w:lang w:val="en-US" w:eastAsia="de-CH"/>
              </w:rPr>
              <w:t>Chronic transfusion needs (thalassemia, sickle cell disease, MDS, etc.)</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B60A86"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BEBF21"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B70B29"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2340A3F"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79F15F"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E2DA53A" w14:textId="77777777" w:rsidR="00EF4BEC" w:rsidRDefault="009E2ACD">
            <w:pPr>
              <w:rPr>
                <w:lang w:eastAsia="de-CH"/>
              </w:rPr>
            </w:pPr>
            <w:r>
              <w:rPr>
                <w:lang w:eastAsia="de-CH"/>
              </w:rPr>
              <w:t>–</w:t>
            </w:r>
          </w:p>
        </w:tc>
      </w:tr>
      <w:tr w:rsidR="00EF4BEC" w:rsidRPr="007C6931" w14:paraId="10F9A59D"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4997CE"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251916E" w14:textId="77777777" w:rsidR="00EF4BEC" w:rsidRDefault="009E2ACD">
            <w:pPr>
              <w:rPr>
                <w:lang w:eastAsia="de-CH"/>
              </w:rPr>
            </w:pPr>
            <w:r>
              <w:rPr>
                <w:lang w:eastAsia="de-CH"/>
              </w:rPr>
              <w:t>10</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44E966"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BACFFD"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C9DFE5" w14:textId="77777777" w:rsidR="00EF4BEC" w:rsidRDefault="009E2ACD">
            <w:pPr>
              <w:rPr>
                <w:lang w:val="en-US" w:eastAsia="de-CH"/>
              </w:rPr>
            </w:pPr>
            <w:r>
              <w:rPr>
                <w:lang w:val="en-US" w:eastAsia="de-CH"/>
              </w:rPr>
              <w:t>Use of alternative sample material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9F3CDE"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EEE0FA"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397F81"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6DD69E7"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34AE4B" w14:textId="77777777" w:rsidR="00EF4BEC" w:rsidRDefault="00EF4BEC">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B0F31E2" w14:textId="77777777" w:rsidR="00EF4BEC" w:rsidRDefault="00EF4BEC">
            <w:pPr>
              <w:rPr>
                <w:lang w:val="en-US" w:eastAsia="de-CH"/>
              </w:rPr>
            </w:pPr>
          </w:p>
        </w:tc>
      </w:tr>
      <w:tr w:rsidR="00EF4BEC" w14:paraId="352C1BBF"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532AE9" w14:textId="77777777" w:rsidR="00EF4BEC" w:rsidRDefault="009E2ACD">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A2134D" w14:textId="77777777" w:rsidR="00EF4BEC" w:rsidRDefault="009E2ACD">
            <w:pPr>
              <w:rPr>
                <w:lang w:eastAsia="de-CH"/>
              </w:rPr>
            </w:pPr>
            <w:r>
              <w:rPr>
                <w:lang w:eastAsia="de-CH"/>
              </w:rPr>
              <w:t>10</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CB1E9C"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61EB89" w14:textId="77777777" w:rsidR="00EF4BEC" w:rsidRDefault="00EF4BEC">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95CEB2" w14:textId="77777777" w:rsidR="00EF4BEC" w:rsidRDefault="009E2ACD">
            <w:pPr>
              <w:rPr>
                <w:lang w:val="en-US" w:eastAsia="de-CH"/>
              </w:rPr>
            </w:pPr>
            <w:r>
              <w:rPr>
                <w:lang w:val="en-US" w:eastAsia="de-CH"/>
              </w:rPr>
              <w:t>If indicated, alternative sample material may be used</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275A09" w14:textId="77777777" w:rsidR="00EF4BEC" w:rsidRDefault="00EF4BEC">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B5B6CE" w14:textId="77777777" w:rsidR="00EF4BEC" w:rsidRDefault="00EF4BEC">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32C4C4" w14:textId="77777777" w:rsidR="00EF4BEC" w:rsidRDefault="00EF4BEC">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DB37B6D" w14:textId="77777777" w:rsidR="00EF4BEC" w:rsidRDefault="009E2ACD">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92F7D6" w14:textId="77777777" w:rsidR="00EF4BEC" w:rsidRDefault="00EF4BEC">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63AB485" w14:textId="77777777" w:rsidR="00EF4BEC" w:rsidRDefault="009E2ACD">
            <w:pPr>
              <w:rPr>
                <w:lang w:eastAsia="de-CH"/>
              </w:rPr>
            </w:pPr>
            <w:r>
              <w:rPr>
                <w:lang w:eastAsia="de-CH"/>
              </w:rPr>
              <w:t>–</w:t>
            </w:r>
          </w:p>
        </w:tc>
      </w:tr>
    </w:tbl>
    <w:p w14:paraId="78314886" w14:textId="77777777" w:rsidR="00EF4BEC" w:rsidRDefault="00EF4BEC">
      <w:pPr>
        <w:rPr>
          <w:lang w:val="en-US"/>
        </w:rPr>
        <w:sectPr w:rsidR="00EF4BEC">
          <w:pgSz w:w="11906" w:h="16838"/>
          <w:pgMar w:top="1417" w:right="1417" w:bottom="1134" w:left="1417" w:header="708" w:footer="246" w:gutter="0"/>
          <w:cols w:space="708"/>
          <w:docGrid w:linePitch="360"/>
        </w:sectPr>
      </w:pPr>
    </w:p>
    <w:tbl>
      <w:tblPr>
        <w:tblW w:w="9087" w:type="dxa"/>
        <w:tblInd w:w="55" w:type="dxa"/>
        <w:tblCellMar>
          <w:left w:w="70" w:type="dxa"/>
          <w:right w:w="70" w:type="dxa"/>
        </w:tblCellMar>
        <w:tblLook w:val="04A0" w:firstRow="1" w:lastRow="0" w:firstColumn="1" w:lastColumn="0" w:noHBand="0" w:noVBand="1"/>
      </w:tblPr>
      <w:tblGrid>
        <w:gridCol w:w="1039"/>
        <w:gridCol w:w="252"/>
        <w:gridCol w:w="252"/>
        <w:gridCol w:w="240"/>
        <w:gridCol w:w="240"/>
        <w:gridCol w:w="240"/>
        <w:gridCol w:w="4556"/>
        <w:gridCol w:w="2268"/>
      </w:tblGrid>
      <w:tr w:rsidR="00EF4BEC" w:rsidRPr="007C6931" w14:paraId="5ECC2AE4" w14:textId="77777777">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B82A3A" w14:textId="77777777" w:rsidR="00EF4BEC" w:rsidRDefault="00EF4BEC">
            <w:pPr>
              <w:rPr>
                <w:lang w:val="fr-CH"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38BC20" w14:textId="77777777" w:rsidR="00EF4BEC" w:rsidRDefault="00EF4BEC">
            <w:pPr>
              <w:rPr>
                <w:lang w:val="fr-CH"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95F548" w14:textId="77777777" w:rsidR="00EF4BEC" w:rsidRDefault="00EF4BEC">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EFCD4F" w14:textId="77777777" w:rsidR="00EF4BEC" w:rsidRDefault="00EF4BEC">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A416CE" w14:textId="77777777" w:rsidR="00EF4BEC" w:rsidRDefault="00EF4BEC">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0BC523" w14:textId="77777777" w:rsidR="00EF4BEC" w:rsidRDefault="00EF4BEC">
            <w:pPr>
              <w:rPr>
                <w:lang w:val="fr-CH" w:eastAsia="de-CH"/>
              </w:rPr>
            </w:pPr>
          </w:p>
        </w:tc>
        <w:tc>
          <w:tcPr>
            <w:tcW w:w="4556"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tcPr>
          <w:p w14:paraId="7D96A38E" w14:textId="77777777" w:rsidR="00EF4BEC" w:rsidRDefault="009E2ACD">
            <w:pPr>
              <w:rPr>
                <w:lang w:val="en-US" w:eastAsia="de-CH"/>
              </w:rPr>
            </w:pPr>
            <w:r>
              <w:rPr>
                <w:noProof/>
                <w:lang w:eastAsia="de-CH"/>
              </w:rPr>
              <mc:AlternateContent>
                <mc:Choice Requires="wpg">
                  <w:drawing>
                    <wp:anchor distT="0" distB="0" distL="114300" distR="114300" simplePos="0" relativeHeight="251661312" behindDoc="0" locked="0" layoutInCell="1" allowOverlap="1" wp14:anchorId="0AC58097" wp14:editId="55E2D920">
                      <wp:simplePos x="0" y="0"/>
                      <wp:positionH relativeFrom="column">
                        <wp:posOffset>1621790</wp:posOffset>
                      </wp:positionH>
                      <wp:positionV relativeFrom="paragraph">
                        <wp:posOffset>-48260</wp:posOffset>
                      </wp:positionV>
                      <wp:extent cx="270663" cy="249878"/>
                      <wp:effectExtent l="0" t="0" r="0" b="0"/>
                      <wp:wrapNone/>
                      <wp:docPr id="4" name="Grafik 5"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bncsmast\AppData\Local\Microsoft\Windows\INetCache\Content.MSO\B8A4A257.tmp"/>
                              <pic:cNvPicPr>
                                <a:picLocks noChangeAspect="1"/>
                              </pic:cNvPicPr>
                            </pic:nvPicPr>
                            <pic:blipFill>
                              <a:blip r:embed="rId25"/>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61312;o:allowoverlap:true;o:allowincell:true;mso-position-horizontal-relative:text;margin-left:127.7pt;mso-position-horizontal:absolute;mso-position-vertical-relative:text;margin-top:-3.8pt;mso-position-vertical:absolute;width:21.3pt;height:19.7pt;" stroked="f">
                      <v:path textboxrect="0,0,0,0"/>
                      <v:imagedata r:id="rId26" o:title=""/>
                    </v:shape>
                  </w:pict>
                </mc:Fallback>
              </mc:AlternateContent>
            </w:r>
            <w:r>
              <w:rPr>
                <w:lang w:val="en-US" w:eastAsia="de-CH"/>
              </w:rPr>
              <w:t>B. Personnel qualifications</w:t>
            </w:r>
          </w:p>
          <w:p w14:paraId="170D889B" w14:textId="77777777" w:rsidR="00EF4BEC" w:rsidRDefault="009E2ACD">
            <w:pPr>
              <w:rPr>
                <w:b/>
                <w:bCs/>
                <w:lang w:val="en-US" w:eastAsia="de-CH"/>
              </w:rPr>
            </w:pPr>
            <w:r>
              <w:rPr>
                <w:lang w:val="en-US" w:eastAsia="de-CH"/>
              </w:rPr>
              <w:t>Effective from January 1st, 2020</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3E6C42" w14:textId="77777777" w:rsidR="00EF4BEC" w:rsidRDefault="00EF4BEC">
            <w:pPr>
              <w:rPr>
                <w:lang w:val="en-US" w:eastAsia="de-CH"/>
              </w:rPr>
            </w:pPr>
          </w:p>
        </w:tc>
      </w:tr>
      <w:tr w:rsidR="00EF4BEC" w:rsidRPr="007C6931" w14:paraId="6E46A1B2" w14:textId="77777777">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96640A"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88AD18"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656D47"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1E0480"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9F75D3"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77D287" w14:textId="77777777" w:rsidR="00EF4BEC" w:rsidRDefault="00EF4BEC">
            <w:pPr>
              <w:rPr>
                <w:lang w:val="en-US"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D46BB1" w14:textId="77777777" w:rsidR="00EF4BEC" w:rsidRDefault="009E2ACD">
            <w:pPr>
              <w:rPr>
                <w:lang w:val="en-US" w:eastAsia="de-CH"/>
              </w:rPr>
            </w:pPr>
            <w:r>
              <w:rPr>
                <w:b/>
                <w:bCs/>
                <w:lang w:val="en-US" w:eastAsia="de-CH"/>
              </w:rPr>
              <w:t>Comment</w:t>
            </w:r>
            <w:r>
              <w:rPr>
                <w:b/>
                <w:lang w:val="en-US" w:eastAsia="de-CH"/>
              </w:rPr>
              <w:t>:</w:t>
            </w:r>
            <w:r>
              <w:rPr>
                <w:lang w:val="en-US" w:eastAsia="de-CH"/>
              </w:rPr>
              <w:t xml:space="preserve"> [ ] … rectangular brackets indicate changes with respect to the EFI standards, e.g. [BG vs.</w:t>
            </w:r>
            <w:r>
              <w:rPr>
                <w:strike/>
                <w:lang w:val="en-US" w:eastAsia="de-CH"/>
              </w:rPr>
              <w:t xml:space="preserve"> HLA</w:t>
            </w:r>
            <w:r>
              <w:rPr>
                <w:lang w:val="en-US" w:eastAsia="de-CH"/>
              </w:rPr>
              <w:t>] in these “Standards for Molecular Blood Group Typing”</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345FA9" w14:textId="77777777" w:rsidR="00EF4BEC" w:rsidRDefault="00EF4BEC">
            <w:pPr>
              <w:rPr>
                <w:lang w:val="en-US" w:eastAsia="de-CH"/>
              </w:rPr>
            </w:pPr>
          </w:p>
        </w:tc>
      </w:tr>
      <w:tr w:rsidR="00EF4BEC" w:rsidRPr="007C6931" w14:paraId="6E4ECD7B" w14:textId="77777777">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B6188F"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D8F932"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DCC56F"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8F1E19"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8278B5"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5D6023" w14:textId="77777777" w:rsidR="00EF4BEC" w:rsidRDefault="00EF4BEC">
            <w:pPr>
              <w:rPr>
                <w:lang w:val="en-US"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3E1B40" w14:textId="77777777" w:rsidR="00EF4BEC" w:rsidRDefault="009E2ACD">
            <w:pPr>
              <w:rPr>
                <w:b/>
                <w:bCs/>
                <w:lang w:val="en-US" w:eastAsia="de-CH"/>
              </w:rPr>
            </w:pPr>
            <w:r>
              <w:rPr>
                <w:b/>
                <w:bCs/>
                <w:lang w:val="en-US" w:eastAsia="de-CH"/>
              </w:rPr>
              <w:t>Comment</w:t>
            </w:r>
            <w:r>
              <w:rPr>
                <w:b/>
                <w:lang w:val="en-US" w:eastAsia="de-CH"/>
              </w:rPr>
              <w:t>:</w:t>
            </w:r>
            <w:r>
              <w:rPr>
                <w:lang w:val="en-US" w:eastAsia="de-CH"/>
              </w:rPr>
              <w:t xml:space="preserve"> most current versions of the ISBT Blood Group Allele Tables (plus actual version number) are given at: </w:t>
            </w:r>
            <w:r>
              <w:rPr>
                <w:lang w:val="en-US" w:eastAsia="de-CH"/>
              </w:rPr>
              <w:br/>
              <w:t>http://www.isbtweb.org/working-parties/red-cell-immunogenetics-and-blood-group-terminology/</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A81587" w14:textId="77777777" w:rsidR="00EF4BEC" w:rsidRDefault="00EF4BEC">
            <w:pPr>
              <w:rPr>
                <w:lang w:val="en-US" w:eastAsia="de-CH"/>
              </w:rPr>
            </w:pPr>
          </w:p>
        </w:tc>
      </w:tr>
      <w:tr w:rsidR="00EF4BEC" w:rsidRPr="007C6931" w14:paraId="5C45D057" w14:textId="77777777">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2DE82F" w14:textId="77777777" w:rsidR="00EF4BEC" w:rsidRDefault="009E2ACD">
            <w:pPr>
              <w:rPr>
                <w:lang w:eastAsia="de-CH"/>
              </w:rPr>
            </w:pPr>
            <w:r>
              <w:rPr>
                <w:lang w:eastAsia="de-CH"/>
              </w:rPr>
              <w:t>B</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3140B1"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8BBC89"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CCC5BC"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CAA1B3"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AA3928" w14:textId="77777777" w:rsidR="00EF4BEC" w:rsidRDefault="00EF4BEC">
            <w:pPr>
              <w:rPr>
                <w:lang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5F6103" w14:textId="77777777" w:rsidR="00EF4BEC" w:rsidRDefault="009E2ACD">
            <w:pPr>
              <w:rPr>
                <w:lang w:val="en-US" w:eastAsia="de-CH"/>
              </w:rPr>
            </w:pPr>
            <w:r>
              <w:rPr>
                <w:lang w:val="en-US" w:eastAsia="de-CH"/>
              </w:rPr>
              <w:t>Competency evaluation and continuous education</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1993BE" w14:textId="77777777" w:rsidR="00EF4BEC" w:rsidRDefault="00EF4BEC">
            <w:pPr>
              <w:rPr>
                <w:lang w:val="en-US" w:eastAsia="de-CH"/>
              </w:rPr>
            </w:pPr>
          </w:p>
        </w:tc>
      </w:tr>
      <w:tr w:rsidR="00EF4BEC" w14:paraId="02D2EF46" w14:textId="77777777">
        <w:trPr>
          <w:trHeight w:val="811"/>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567E28" w14:textId="77777777" w:rsidR="00EF4BEC" w:rsidRDefault="009E2ACD">
            <w:pPr>
              <w:rPr>
                <w:lang w:eastAsia="de-CH"/>
              </w:rPr>
            </w:pPr>
            <w:r>
              <w:rPr>
                <w:lang w:eastAsia="de-CH"/>
              </w:rPr>
              <w:t>B</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32BB97"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5381D3"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A839C5"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BD044C"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5AA742" w14:textId="77777777" w:rsidR="00EF4BEC" w:rsidRDefault="00EF4BEC">
            <w:pPr>
              <w:rPr>
                <w:lang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CF6C0A" w14:textId="79F7BCE2" w:rsidR="00EF4BEC" w:rsidRDefault="009E2ACD">
            <w:pPr>
              <w:rPr>
                <w:lang w:val="en-US" w:eastAsia="de-CH"/>
              </w:rPr>
            </w:pPr>
            <w:r>
              <w:rPr>
                <w:lang w:val="en-US" w:eastAsia="de-CH"/>
              </w:rPr>
              <w:t>The Laboratory Director and the technical staff must participate in continuing education relating to each category [</w:t>
            </w:r>
            <w:r>
              <w:rPr>
                <w:strike/>
                <w:lang w:val="en-US" w:eastAsia="de-CH"/>
              </w:rPr>
              <w:t xml:space="preserve">for which </w:t>
            </w:r>
            <w:r>
              <w:rPr>
                <w:lang w:val="en-US" w:eastAsia="de-CH"/>
              </w:rPr>
              <w:t>of molecular blood group typing (e.g. single sample typing, blood group sequencing …)</w:t>
            </w:r>
            <w:r>
              <w:rPr>
                <w:strike/>
                <w:lang w:val="en-US" w:eastAsia="de-CH"/>
              </w:rPr>
              <w:t xml:space="preserve"> </w:t>
            </w:r>
          </w:p>
        </w:tc>
        <w:tc>
          <w:tcPr>
            <w:tcW w:w="226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70860A"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r>
    </w:tbl>
    <w:p w14:paraId="71320866" w14:textId="77777777" w:rsidR="00EF4BEC" w:rsidRDefault="00EF4BEC">
      <w:pPr>
        <w:rPr>
          <w:lang w:eastAsia="de-CH"/>
        </w:rPr>
        <w:sectPr w:rsidR="00EF4BEC">
          <w:pgSz w:w="11906" w:h="16838"/>
          <w:pgMar w:top="1417" w:right="1417" w:bottom="709" w:left="1417" w:header="708" w:footer="249" w:gutter="0"/>
          <w:cols w:space="708"/>
          <w:docGrid w:linePitch="360"/>
        </w:sectPr>
      </w:pPr>
    </w:p>
    <w:tbl>
      <w:tblPr>
        <w:tblW w:w="9142" w:type="dxa"/>
        <w:tblCellMar>
          <w:left w:w="70" w:type="dxa"/>
          <w:right w:w="70" w:type="dxa"/>
        </w:tblCellMar>
        <w:tblLook w:val="04A0" w:firstRow="1" w:lastRow="0" w:firstColumn="1" w:lastColumn="0" w:noHBand="0" w:noVBand="1"/>
      </w:tblPr>
      <w:tblGrid>
        <w:gridCol w:w="408"/>
        <w:gridCol w:w="340"/>
        <w:gridCol w:w="244"/>
        <w:gridCol w:w="236"/>
        <w:gridCol w:w="331"/>
        <w:gridCol w:w="283"/>
        <w:gridCol w:w="5346"/>
        <w:gridCol w:w="630"/>
        <w:gridCol w:w="1324"/>
      </w:tblGrid>
      <w:tr w:rsidR="00EF4BEC" w14:paraId="2880BE56" w14:textId="77777777">
        <w:trPr>
          <w:trHeight w:val="223"/>
        </w:trPr>
        <w:tc>
          <w:tcPr>
            <w:tcW w:w="40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792533" w14:textId="77777777" w:rsidR="00EF4BEC" w:rsidRDefault="00EF4BEC">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94CE8C" w14:textId="77777777" w:rsidR="00EF4BEC" w:rsidRDefault="00EF4BEC">
            <w:pPr>
              <w:rPr>
                <w:lang w:eastAsia="de-CH"/>
              </w:rPr>
            </w:pPr>
          </w:p>
        </w:tc>
        <w:tc>
          <w:tcPr>
            <w:tcW w:w="24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C4B378" w14:textId="77777777" w:rsidR="00EF4BEC" w:rsidRDefault="00EF4BEC">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25B792"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001FA0"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CA1C53"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62AD5A31" w14:textId="77777777" w:rsidR="00EF4BEC" w:rsidRDefault="009E2ACD">
            <w:pPr>
              <w:rPr>
                <w:lang w:eastAsia="de-CH"/>
              </w:rPr>
            </w:pPr>
            <w:r>
              <w:rPr>
                <w:noProof/>
                <w:lang w:eastAsia="de-CH"/>
              </w:rPr>
              <mc:AlternateContent>
                <mc:Choice Requires="wpg">
                  <w:drawing>
                    <wp:anchor distT="0" distB="0" distL="114300" distR="114300" simplePos="0" relativeHeight="251659264" behindDoc="0" locked="0" layoutInCell="1" allowOverlap="1" wp14:anchorId="7AB08A45" wp14:editId="61B57D9D">
                      <wp:simplePos x="0" y="0"/>
                      <wp:positionH relativeFrom="column">
                        <wp:posOffset>1347470</wp:posOffset>
                      </wp:positionH>
                      <wp:positionV relativeFrom="paragraph">
                        <wp:posOffset>-29845</wp:posOffset>
                      </wp:positionV>
                      <wp:extent cx="270663" cy="249878"/>
                      <wp:effectExtent l="0" t="0" r="0" b="0"/>
                      <wp:wrapNone/>
                      <wp:docPr id="5" name="Grafik 9"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Users\bncsmast\AppData\Local\Microsoft\Windows\INetCache\Content.MSO\B8A4A257.tmp"/>
                              <pic:cNvPicPr>
                                <a:picLocks noChangeAspect="1"/>
                              </pic:cNvPicPr>
                            </pic:nvPicPr>
                            <pic:blipFill>
                              <a:blip r:embed="rId25"/>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0pt;mso-wrap-distance-top:0.0pt;mso-wrap-distance-right:9.0pt;mso-wrap-distance-bottom:0.0pt;z-index:251659264;o:allowoverlap:true;o:allowincell:true;mso-position-horizontal-relative:text;margin-left:106.1pt;mso-position-horizontal:absolute;mso-position-vertical-relative:text;margin-top:-2.4pt;mso-position-vertical:absolute;width:21.3pt;height:19.7pt;" stroked="f">
                      <v:path textboxrect="0,0,0,0"/>
                      <v:imagedata r:id="rId26" o:title=""/>
                    </v:shape>
                  </w:pict>
                </mc:Fallback>
              </mc:AlternateContent>
            </w:r>
            <w:r>
              <w:rPr>
                <w:lang w:eastAsia="de-CH"/>
              </w:rPr>
              <w:t>C. Quality assurance</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69F2ED"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9941DF" w14:textId="77777777" w:rsidR="00EF4BEC" w:rsidRDefault="00EF4BEC">
            <w:pPr>
              <w:rPr>
                <w:lang w:eastAsia="de-CH"/>
              </w:rPr>
            </w:pPr>
          </w:p>
        </w:tc>
      </w:tr>
      <w:tr w:rsidR="00EF4BEC" w14:paraId="754EBB42"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12B72A" w14:textId="77777777" w:rsidR="00EF4BEC" w:rsidRDefault="00EF4BEC">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09C2DD" w14:textId="77777777" w:rsidR="00EF4BEC" w:rsidRDefault="00EF4BEC">
            <w:pPr>
              <w:rPr>
                <w:lang w:eastAsia="de-CH"/>
              </w:rPr>
            </w:pPr>
          </w:p>
        </w:tc>
        <w:tc>
          <w:tcPr>
            <w:tcW w:w="24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8574D3" w14:textId="77777777" w:rsidR="00EF4BEC" w:rsidRDefault="00EF4BEC">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DF82A4"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A3AC10"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0CBD87"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CFA41B" w14:textId="77777777" w:rsidR="00EF4BEC" w:rsidRDefault="009E2ACD">
            <w:pPr>
              <w:rPr>
                <w:lang w:val="en-US" w:eastAsia="de-CH"/>
              </w:rPr>
            </w:pPr>
            <w:r>
              <w:rPr>
                <w:b/>
                <w:bCs/>
                <w:lang w:val="en-US" w:eastAsia="de-CH"/>
              </w:rPr>
              <w:t>Comment</w:t>
            </w:r>
            <w:r>
              <w:rPr>
                <w:b/>
                <w:lang w:val="en-US" w:eastAsia="de-CH"/>
              </w:rPr>
              <w:t>:</w:t>
            </w:r>
            <w:r>
              <w:rPr>
                <w:lang w:val="en-US" w:eastAsia="de-CH"/>
              </w:rPr>
              <w:t xml:space="preserve"> [ ] … rectangular brackets indicate changes with respect to the EFI standards, e.g. [BG vs.</w:t>
            </w:r>
            <w:r>
              <w:rPr>
                <w:strike/>
                <w:lang w:val="en-US" w:eastAsia="de-CH"/>
              </w:rPr>
              <w:t xml:space="preserve"> HLA</w:t>
            </w:r>
            <w:r>
              <w:rPr>
                <w:lang w:val="en-US" w:eastAsia="de-CH"/>
              </w:rPr>
              <w:t>] in these “Standards for Molecular Blood Group Typing”</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D78543"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2032EF" w14:textId="77777777" w:rsidR="00EF4BEC" w:rsidRDefault="009E2ACD">
            <w:pPr>
              <w:rPr>
                <w:lang w:eastAsia="de-CH"/>
              </w:rPr>
            </w:pPr>
            <w:r>
              <w:rPr>
                <w:lang w:eastAsia="de-CH"/>
              </w:rPr>
              <w:t xml:space="preserve">comment added </w:t>
            </w:r>
          </w:p>
        </w:tc>
      </w:tr>
      <w:tr w:rsidR="00EF4BEC" w14:paraId="4823EB47"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72DB45" w14:textId="77777777" w:rsidR="00EF4BEC" w:rsidRDefault="00EF4BEC">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52CF7E" w14:textId="77777777" w:rsidR="00EF4BEC" w:rsidRDefault="00EF4BEC">
            <w:pPr>
              <w:rPr>
                <w:lang w:eastAsia="de-CH"/>
              </w:rPr>
            </w:pPr>
          </w:p>
        </w:tc>
        <w:tc>
          <w:tcPr>
            <w:tcW w:w="24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EEDE0E" w14:textId="77777777" w:rsidR="00EF4BEC" w:rsidRDefault="00EF4BEC">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C98B4A"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F1654F"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C84FDB"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AC5B53" w14:textId="77777777" w:rsidR="00EF4BEC" w:rsidRDefault="009E2ACD">
            <w:pPr>
              <w:rPr>
                <w:lang w:val="en-US" w:eastAsia="de-CH"/>
              </w:rPr>
            </w:pPr>
            <w:r>
              <w:rPr>
                <w:b/>
                <w:bCs/>
                <w:lang w:val="en-US" w:eastAsia="de-CH"/>
              </w:rPr>
              <w:t>Comment</w:t>
            </w:r>
            <w:r>
              <w:rPr>
                <w:b/>
                <w:lang w:val="en-US" w:eastAsia="de-CH"/>
              </w:rPr>
              <w:t>:</w:t>
            </w:r>
            <w:r>
              <w:rPr>
                <w:lang w:val="en-US" w:eastAsia="de-CH"/>
              </w:rPr>
              <w:t xml:space="preserve"> most current versions of the ISBT Blood Group Allele Tables (plus actual version number) are given at: </w:t>
            </w:r>
            <w:r>
              <w:rPr>
                <w:lang w:val="en-US" w:eastAsia="de-CH"/>
              </w:rPr>
              <w:br/>
              <w:t>http://www.isbtweb.org/working-parties/red-cell-immunogenetics-and-blood-group-terminology/</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386607"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AF0372" w14:textId="77777777" w:rsidR="00EF4BEC" w:rsidRDefault="009E2ACD">
            <w:pPr>
              <w:rPr>
                <w:lang w:eastAsia="de-CH"/>
              </w:rPr>
            </w:pPr>
            <w:r>
              <w:rPr>
                <w:lang w:eastAsia="de-CH"/>
              </w:rPr>
              <w:t xml:space="preserve">comment added </w:t>
            </w:r>
          </w:p>
        </w:tc>
      </w:tr>
      <w:tr w:rsidR="00EF4BEC" w14:paraId="6969111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05EBD8" w14:textId="77777777" w:rsidR="00EF4BEC" w:rsidRDefault="009E2ACD">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358A45" w14:textId="77777777" w:rsidR="00EF4BEC" w:rsidRDefault="009E2ACD">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0659DF" w14:textId="77777777" w:rsidR="00EF4BEC" w:rsidRDefault="00EF4BEC">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B2B3ED"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AD64F1"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061CDB"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8DFD50" w14:textId="77777777" w:rsidR="00EF4BEC" w:rsidRDefault="009E2ACD">
            <w:pPr>
              <w:rPr>
                <w:lang w:eastAsia="de-CH"/>
              </w:rPr>
            </w:pPr>
            <w:r>
              <w:rPr>
                <w:lang w:eastAsia="de-CH"/>
              </w:rPr>
              <w:t>Technical</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3BB45C"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832681" w14:textId="77777777" w:rsidR="00EF4BEC" w:rsidRDefault="00EF4BEC">
            <w:pPr>
              <w:rPr>
                <w:lang w:eastAsia="de-CH"/>
              </w:rPr>
            </w:pPr>
          </w:p>
        </w:tc>
      </w:tr>
      <w:tr w:rsidR="00EF4BEC" w:rsidRPr="007C6931" w14:paraId="69100B42"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C133E2" w14:textId="77777777" w:rsidR="00EF4BEC" w:rsidRDefault="009E2ACD">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F05C76" w14:textId="77777777" w:rsidR="00EF4BEC" w:rsidRDefault="009E2ACD">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180258" w14:textId="77777777" w:rsidR="00EF4BEC" w:rsidRDefault="009E2ACD">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1EBDE3"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679816"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42700A"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D106A0" w14:textId="77777777" w:rsidR="00EF4BEC" w:rsidRDefault="009E2ACD">
            <w:pPr>
              <w:rPr>
                <w:lang w:val="en-US" w:eastAsia="de-CH"/>
              </w:rPr>
            </w:pPr>
            <w:r>
              <w:rPr>
                <w:lang w:val="en-US" w:eastAsia="de-CH"/>
              </w:rPr>
              <w:t xml:space="preserve">Laboratories performing amplification of nucleic acids must use: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F7FD8C"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C69A09" w14:textId="77777777" w:rsidR="00EF4BEC" w:rsidRDefault="00EF4BEC">
            <w:pPr>
              <w:rPr>
                <w:lang w:val="en-US" w:eastAsia="de-CH"/>
              </w:rPr>
            </w:pPr>
          </w:p>
        </w:tc>
      </w:tr>
      <w:tr w:rsidR="00EF4BEC" w:rsidRPr="007C6931" w14:paraId="10B5AA0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8CC177" w14:textId="77777777" w:rsidR="00EF4BEC" w:rsidRDefault="009E2ACD">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E6A794" w14:textId="77777777" w:rsidR="00EF4BEC" w:rsidRDefault="009E2ACD">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B7BF31" w14:textId="77777777" w:rsidR="00EF4BEC" w:rsidRDefault="009E2ACD">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2EA041"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C6B55B"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28326F"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23A604" w14:textId="77777777" w:rsidR="00EF4BEC" w:rsidRDefault="009E2ACD">
            <w:pPr>
              <w:rPr>
                <w:lang w:val="en-US" w:eastAsia="de-CH"/>
              </w:rPr>
            </w:pPr>
            <w:r>
              <w:rPr>
                <w:lang w:val="en-US" w:eastAsia="de-CH"/>
              </w:rPr>
              <w:t xml:space="preserve">A dedicated work area with restricted traffic flow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A4AB31"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483211" w14:textId="77777777" w:rsidR="00EF4BEC" w:rsidRDefault="00EF4BEC">
            <w:pPr>
              <w:rPr>
                <w:lang w:val="en-US" w:eastAsia="de-CH"/>
              </w:rPr>
            </w:pPr>
          </w:p>
        </w:tc>
      </w:tr>
      <w:tr w:rsidR="00EF4BEC" w:rsidRPr="007C6931" w14:paraId="24329499"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482E67" w14:textId="77777777" w:rsidR="00EF4BEC" w:rsidRDefault="009E2ACD">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28DBD2" w14:textId="77777777" w:rsidR="00EF4BEC" w:rsidRDefault="009E2ACD">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85B5D2" w14:textId="77777777" w:rsidR="00EF4BEC" w:rsidRDefault="009E2ACD">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9D0B6A"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CBA65E"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BA3B37"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7E895E" w14:textId="77777777" w:rsidR="00EF4BEC" w:rsidRDefault="009E2ACD">
            <w:pPr>
              <w:rPr>
                <w:lang w:val="en-US" w:eastAsia="de-CH"/>
              </w:rPr>
            </w:pPr>
            <w:r>
              <w:rPr>
                <w:lang w:val="en-US" w:eastAsia="de-CH"/>
              </w:rPr>
              <w:t>Physical barriers to prevent DNA contamination, including the use of dedicated:</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68B390"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BD8209" w14:textId="77777777" w:rsidR="00EF4BEC" w:rsidRDefault="00EF4BEC">
            <w:pPr>
              <w:rPr>
                <w:lang w:val="en-US" w:eastAsia="de-CH"/>
              </w:rPr>
            </w:pPr>
          </w:p>
        </w:tc>
      </w:tr>
      <w:tr w:rsidR="00EF4BEC" w14:paraId="550432A9"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7B78D7" w14:textId="77777777" w:rsidR="00EF4BEC" w:rsidRDefault="009E2ACD">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D79FFA" w14:textId="77777777" w:rsidR="00EF4BEC" w:rsidRDefault="009E2ACD">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212BC9" w14:textId="77777777" w:rsidR="00EF4BEC" w:rsidRDefault="009E2ACD">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99A27F"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FBD23B"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BCF116" w14:textId="77777777" w:rsidR="00EF4BEC" w:rsidRDefault="009E2ACD">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798FB0" w14:textId="77777777" w:rsidR="00EF4BEC" w:rsidRDefault="009E2ACD">
            <w:pPr>
              <w:rPr>
                <w:lang w:eastAsia="de-CH"/>
              </w:rPr>
            </w:pPr>
            <w:r>
              <w:rPr>
                <w:lang w:eastAsia="de-CH"/>
              </w:rPr>
              <w:t xml:space="preserve">Equipment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8A43B4"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543864" w14:textId="77777777" w:rsidR="00EF4BEC" w:rsidRDefault="00EF4BEC">
            <w:pPr>
              <w:rPr>
                <w:lang w:eastAsia="de-CH"/>
              </w:rPr>
            </w:pPr>
          </w:p>
        </w:tc>
      </w:tr>
      <w:tr w:rsidR="00EF4BEC" w14:paraId="09BDE7D8"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187189" w14:textId="77777777" w:rsidR="00EF4BEC" w:rsidRDefault="009E2ACD">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C85D13" w14:textId="77777777" w:rsidR="00EF4BEC" w:rsidRDefault="009E2ACD">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A7869C" w14:textId="77777777" w:rsidR="00EF4BEC" w:rsidRDefault="009E2ACD">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E3C6F2"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53F533"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F283B6" w14:textId="77777777" w:rsidR="00EF4BEC" w:rsidRDefault="009E2ACD">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B3C352" w14:textId="77777777" w:rsidR="00EF4BEC" w:rsidRDefault="009E2ACD">
            <w:pPr>
              <w:rPr>
                <w:lang w:eastAsia="de-CH"/>
              </w:rPr>
            </w:pPr>
            <w:r>
              <w:rPr>
                <w:lang w:eastAsia="de-CH"/>
              </w:rPr>
              <w:t xml:space="preserve">Laboratory coats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58F156"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2F5432" w14:textId="77777777" w:rsidR="00EF4BEC" w:rsidRDefault="00EF4BEC">
            <w:pPr>
              <w:rPr>
                <w:lang w:eastAsia="de-CH"/>
              </w:rPr>
            </w:pPr>
          </w:p>
        </w:tc>
      </w:tr>
      <w:tr w:rsidR="00EF4BEC" w14:paraId="792D3CF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740F9A" w14:textId="77777777" w:rsidR="00EF4BEC" w:rsidRDefault="009E2ACD">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876162" w14:textId="77777777" w:rsidR="00EF4BEC" w:rsidRDefault="009E2ACD">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AFCFA8" w14:textId="77777777" w:rsidR="00EF4BEC" w:rsidRDefault="009E2ACD">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BE3ED1"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7CA926"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71ECBF" w14:textId="77777777" w:rsidR="00EF4BEC" w:rsidRDefault="009E2ACD">
            <w:pPr>
              <w:rPr>
                <w:lang w:eastAsia="de-CH"/>
              </w:rPr>
            </w:pPr>
            <w:r>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944257" w14:textId="77777777" w:rsidR="00EF4BEC" w:rsidRDefault="009E2ACD">
            <w:pPr>
              <w:rPr>
                <w:lang w:eastAsia="de-CH"/>
              </w:rPr>
            </w:pPr>
            <w:r>
              <w:rPr>
                <w:lang w:eastAsia="de-CH"/>
              </w:rPr>
              <w:t xml:space="preserve">Disposable supplies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C1CD42"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EC4C04" w14:textId="77777777" w:rsidR="00EF4BEC" w:rsidRDefault="00EF4BEC">
            <w:pPr>
              <w:rPr>
                <w:lang w:eastAsia="de-CH"/>
              </w:rPr>
            </w:pPr>
          </w:p>
        </w:tc>
      </w:tr>
      <w:tr w:rsidR="00EF4BEC" w:rsidRPr="007C6931" w14:paraId="2047779C" w14:textId="77777777">
        <w:trPr>
          <w:trHeight w:val="54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89F31A" w14:textId="77777777" w:rsidR="00EF4BEC" w:rsidRDefault="009E2ACD">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401F02" w14:textId="77777777" w:rsidR="00EF4BEC" w:rsidRDefault="009E2ACD">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F28583" w14:textId="77777777" w:rsidR="00EF4BEC" w:rsidRDefault="009E2ACD">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F8E11D"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E0C5F1"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166F10"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AFB8B6" w14:textId="77777777" w:rsidR="00EF4BEC" w:rsidRDefault="009E2ACD">
            <w:pPr>
              <w:rPr>
                <w:lang w:val="en-US" w:eastAsia="de-CH"/>
              </w:rPr>
            </w:pPr>
            <w:r>
              <w:rPr>
                <w:lang w:val="en-US" w:eastAsia="de-CH"/>
              </w:rPr>
              <w:t xml:space="preserve">Pre-amplification procedures must be performed in an area which excludes amplified DNA that has the potential to serve as a template for amplification in any of the genetic systems tested in the laboratory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4E20A4"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471D9B" w14:textId="77777777" w:rsidR="00EF4BEC" w:rsidRDefault="00EF4BEC">
            <w:pPr>
              <w:rPr>
                <w:lang w:val="en-US" w:eastAsia="de-CH"/>
              </w:rPr>
            </w:pPr>
          </w:p>
        </w:tc>
      </w:tr>
      <w:tr w:rsidR="00EF4BEC" w:rsidRPr="007C6931" w14:paraId="567C41C6"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C46D44" w14:textId="77777777" w:rsidR="00EF4BEC" w:rsidRDefault="009E2ACD">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A0CDFD" w14:textId="77777777" w:rsidR="00EF4BEC" w:rsidRDefault="009E2ACD">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0B43F1" w14:textId="77777777" w:rsidR="00EF4BEC" w:rsidRDefault="009E2ACD">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3A5702" w14:textId="77777777" w:rsidR="00EF4BEC" w:rsidRDefault="009E2ACD">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28B521"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B97ED1"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42EADF" w14:textId="77777777" w:rsidR="00EF4BEC" w:rsidRDefault="009E2ACD">
            <w:pPr>
              <w:rPr>
                <w:lang w:val="en-US" w:eastAsia="de-CH"/>
              </w:rPr>
            </w:pPr>
            <w:r>
              <w:rPr>
                <w:lang w:val="en-US" w:eastAsia="de-CH"/>
              </w:rPr>
              <w:t xml:space="preserve">All activities occurring from and including thermal cycling must take place in the post-amplification area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3949C6"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D005D2" w14:textId="77777777" w:rsidR="00EF4BEC" w:rsidRDefault="00EF4BEC">
            <w:pPr>
              <w:rPr>
                <w:lang w:val="en-US" w:eastAsia="de-CH"/>
              </w:rPr>
            </w:pPr>
          </w:p>
        </w:tc>
      </w:tr>
    </w:tbl>
    <w:p w14:paraId="77F425C3" w14:textId="77777777" w:rsidR="00EF4BEC" w:rsidRDefault="00EF4BEC">
      <w:pPr>
        <w:rPr>
          <w:lang w:val="en-US" w:eastAsia="de-CH"/>
        </w:rPr>
        <w:sectPr w:rsidR="00EF4BEC">
          <w:pgSz w:w="11906" w:h="16838"/>
          <w:pgMar w:top="1417" w:right="1417" w:bottom="993" w:left="1417" w:header="708" w:footer="249" w:gutter="0"/>
          <w:cols w:space="708"/>
          <w:docGrid w:linePitch="360"/>
        </w:sectPr>
      </w:pPr>
    </w:p>
    <w:tbl>
      <w:tblPr>
        <w:tblW w:w="9164" w:type="dxa"/>
        <w:tblInd w:w="55" w:type="dxa"/>
        <w:tblCellMar>
          <w:left w:w="70" w:type="dxa"/>
          <w:right w:w="70" w:type="dxa"/>
        </w:tblCellMar>
        <w:tblLook w:val="04A0" w:firstRow="1" w:lastRow="0" w:firstColumn="1" w:lastColumn="0" w:noHBand="0" w:noVBand="1"/>
      </w:tblPr>
      <w:tblGrid>
        <w:gridCol w:w="285"/>
        <w:gridCol w:w="252"/>
        <w:gridCol w:w="252"/>
        <w:gridCol w:w="252"/>
        <w:gridCol w:w="252"/>
        <w:gridCol w:w="240"/>
        <w:gridCol w:w="5363"/>
        <w:gridCol w:w="2268"/>
      </w:tblGrid>
      <w:tr w:rsidR="00EF4BEC" w14:paraId="4FBB53E2" w14:textId="77777777">
        <w:trPr>
          <w:trHeight w:val="300"/>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59AC10"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2AD653"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6D1960"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734EF1"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A84FF1"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70F829B" w14:textId="77777777" w:rsidR="00EF4BEC" w:rsidRDefault="00EF4BEC">
            <w:pPr>
              <w:rPr>
                <w:lang w:val="en-US" w:eastAsia="de-CH"/>
              </w:rPr>
            </w:pPr>
          </w:p>
        </w:tc>
        <w:tc>
          <w:tcPr>
            <w:tcW w:w="5363"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491234AC" w14:textId="77777777" w:rsidR="00EF4BEC" w:rsidRDefault="009E2ACD">
            <w:pPr>
              <w:rPr>
                <w:lang w:val="fr-CH" w:eastAsia="de-CH"/>
              </w:rPr>
            </w:pPr>
            <w:r>
              <w:rPr>
                <w:noProof/>
                <w:lang w:eastAsia="de-CH"/>
              </w:rPr>
              <mc:AlternateContent>
                <mc:Choice Requires="wpg">
                  <w:drawing>
                    <wp:anchor distT="0" distB="0" distL="114300" distR="114300" simplePos="0" relativeHeight="251660288" behindDoc="0" locked="0" layoutInCell="1" allowOverlap="1" wp14:anchorId="0AA0D651" wp14:editId="574A9294">
                      <wp:simplePos x="0" y="0"/>
                      <wp:positionH relativeFrom="column">
                        <wp:posOffset>1910080</wp:posOffset>
                      </wp:positionH>
                      <wp:positionV relativeFrom="paragraph">
                        <wp:posOffset>24130</wp:posOffset>
                      </wp:positionV>
                      <wp:extent cx="270663" cy="249878"/>
                      <wp:effectExtent l="0" t="0" r="0" b="0"/>
                      <wp:wrapNone/>
                      <wp:docPr id="6" name="Grafik 10"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Users\bncsmast\AppData\Local\Microsoft\Windows\INetCache\Content.MSO\B8A4A257.tmp"/>
                              <pic:cNvPicPr>
                                <a:picLocks noChangeAspect="1"/>
                              </pic:cNvPicPr>
                            </pic:nvPicPr>
                            <pic:blipFill>
                              <a:blip r:embed="rId25"/>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mso-wrap-distance-left:9.0pt;mso-wrap-distance-top:0.0pt;mso-wrap-distance-right:9.0pt;mso-wrap-distance-bottom:0.0pt;z-index:251660288;o:allowoverlap:true;o:allowincell:true;mso-position-horizontal-relative:text;margin-left:150.4pt;mso-position-horizontal:absolute;mso-position-vertical-relative:text;margin-top:1.9pt;mso-position-vertical:absolute;width:21.3pt;height:19.7pt;" stroked="f">
                      <v:path textboxrect="0,0,0,0"/>
                      <v:imagedata r:id="rId26" o:title=""/>
                    </v:shape>
                  </w:pict>
                </mc:Fallback>
              </mc:AlternateContent>
            </w:r>
            <w:r>
              <w:rPr>
                <w:lang w:val="fr-CH" w:eastAsia="de-CH"/>
              </w:rPr>
              <w:t>D. External proficiency testing</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7B8572" w14:textId="77777777" w:rsidR="00EF4BEC" w:rsidRDefault="00EF4BEC">
            <w:pPr>
              <w:rPr>
                <w:lang w:val="fr-CH" w:eastAsia="de-CH"/>
              </w:rPr>
            </w:pPr>
          </w:p>
        </w:tc>
      </w:tr>
      <w:tr w:rsidR="00EF4BEC" w14:paraId="5877FADC" w14:textId="77777777">
        <w:trPr>
          <w:trHeight w:val="300"/>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8DED66"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D95C43"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B559FF"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4A5572" w14:textId="77777777" w:rsidR="00EF4BEC" w:rsidRDefault="00EF4BEC">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BCA6AA"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52C710" w14:textId="77777777" w:rsidR="00EF4BEC" w:rsidRDefault="00EF4BEC">
            <w:pPr>
              <w:rPr>
                <w:lang w:val="en-US" w:eastAsia="de-CH"/>
              </w:rPr>
            </w:pPr>
          </w:p>
        </w:tc>
        <w:tc>
          <w:tcPr>
            <w:tcW w:w="5363"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tcPr>
          <w:p w14:paraId="08AB7BAB" w14:textId="77777777" w:rsidR="00EF4BEC" w:rsidRDefault="00EF4BEC">
            <w:pPr>
              <w:rPr>
                <w:lang w:eastAsia="de-CH"/>
              </w:rPr>
            </w:pP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B41435" w14:textId="77777777" w:rsidR="00EF4BEC" w:rsidRDefault="00EF4BEC">
            <w:pPr>
              <w:rPr>
                <w:lang w:eastAsia="de-CH"/>
              </w:rPr>
            </w:pPr>
          </w:p>
        </w:tc>
      </w:tr>
      <w:tr w:rsidR="00EF4BEC" w:rsidRPr="007C6931" w14:paraId="2E8B2267" w14:textId="77777777">
        <w:trPr>
          <w:trHeight w:val="465"/>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DFC050"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E1703D"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9BB052"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C823A9"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0CFD8F"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6837C3"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2FDB07" w14:textId="77777777" w:rsidR="00EF4BEC" w:rsidRDefault="009E2ACD">
            <w:pPr>
              <w:rPr>
                <w:lang w:val="en-US" w:eastAsia="de-CH"/>
              </w:rPr>
            </w:pPr>
            <w:r>
              <w:rPr>
                <w:b/>
                <w:bCs/>
                <w:lang w:val="en-US" w:eastAsia="de-CH"/>
              </w:rPr>
              <w:t>Comment</w:t>
            </w:r>
            <w:r>
              <w:rPr>
                <w:b/>
                <w:lang w:val="en-US" w:eastAsia="de-CH"/>
              </w:rPr>
              <w:t>:</w:t>
            </w:r>
            <w:r>
              <w:rPr>
                <w:lang w:val="en-US" w:eastAsia="de-CH"/>
              </w:rPr>
              <w:t xml:space="preserve"> [ ] … rectangular brackets indicate changes with respect to the EFI standards, e.g. [BG vs.</w:t>
            </w:r>
            <w:r>
              <w:rPr>
                <w:strike/>
                <w:lang w:val="en-US" w:eastAsia="de-CH"/>
              </w:rPr>
              <w:t xml:space="preserve"> HLA</w:t>
            </w:r>
            <w:r>
              <w:rPr>
                <w:lang w:val="en-US" w:eastAsia="de-CH"/>
              </w:rPr>
              <w:t>] in these “Standards for Molecular Blood Group Typing”</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F2754E" w14:textId="77777777" w:rsidR="00EF4BEC" w:rsidRDefault="00EF4BEC">
            <w:pPr>
              <w:rPr>
                <w:lang w:val="en-US" w:eastAsia="de-CH"/>
              </w:rPr>
            </w:pPr>
          </w:p>
        </w:tc>
      </w:tr>
      <w:tr w:rsidR="00EF4BEC" w:rsidRPr="007C6931" w14:paraId="447E1D07" w14:textId="77777777">
        <w:trPr>
          <w:trHeight w:val="18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AB3A6EE"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917C650"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01FBA57"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C3C55D3"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1B55EA9"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5FD5F85"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44466142" w14:textId="77777777" w:rsidR="00EF4BEC" w:rsidRDefault="009E2ACD">
            <w:pPr>
              <w:rPr>
                <w:lang w:val="en-US" w:eastAsia="de-CH"/>
              </w:rPr>
            </w:pPr>
            <w:r>
              <w:rPr>
                <w:lang w:val="en-US" w:eastAsia="de-CH"/>
              </w:rPr>
              <w:t>Procedure of External Proficiency Testing</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B0E090D" w14:textId="77777777" w:rsidR="00EF4BEC" w:rsidRDefault="00EF4BEC">
            <w:pPr>
              <w:rPr>
                <w:lang w:val="en-US" w:eastAsia="de-CH"/>
              </w:rPr>
            </w:pPr>
          </w:p>
        </w:tc>
      </w:tr>
      <w:tr w:rsidR="00EF4BEC" w14:paraId="5889E302" w14:textId="77777777">
        <w:trPr>
          <w:trHeight w:val="18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52C5F33"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24CF036"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CA8026F"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4724CB8"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FF60B02"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D110F3D"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528263E3" w14:textId="77777777" w:rsidR="00EF4BEC" w:rsidRDefault="009E2ACD">
            <w:r>
              <w:t>Registration for EPT schemes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F3ED54D" w14:textId="77777777" w:rsidR="00EF4BEC" w:rsidRDefault="00EF4BEC"/>
        </w:tc>
      </w:tr>
      <w:tr w:rsidR="00EF4BEC" w:rsidRPr="007C6931" w14:paraId="3AEB9D6D" w14:textId="77777777">
        <w:trPr>
          <w:trHeight w:val="15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D69D44"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5C15DE"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BFA929"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C9569F"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0CEB9A"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B7449F"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D03AC9" w14:textId="77777777" w:rsidR="00EF4BEC" w:rsidRDefault="009E2ACD">
            <w:pPr>
              <w:rPr>
                <w:lang w:val="en-US" w:eastAsia="de-CH"/>
              </w:rPr>
            </w:pPr>
            <w:r>
              <w:rPr>
                <w:lang w:val="en-US" w:eastAsia="de-CH"/>
              </w:rPr>
              <w:t>The laboratory must participate in EPT programme(s) to cover</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6C259B" w14:textId="77777777" w:rsidR="00EF4BEC" w:rsidRDefault="00EF4BEC">
            <w:pPr>
              <w:rPr>
                <w:lang w:val="en-US" w:eastAsia="de-CH"/>
              </w:rPr>
            </w:pPr>
          </w:p>
        </w:tc>
      </w:tr>
      <w:tr w:rsidR="00EF4BEC" w14:paraId="3292726B" w14:textId="77777777">
        <w:trPr>
          <w:trHeight w:val="559"/>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032A92"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852A49"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B4071D"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81C026"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B538C4"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4F6B35"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D085FB" w14:textId="3FE9351B" w:rsidR="00EF4BEC" w:rsidRDefault="009E2ACD">
            <w:pPr>
              <w:rPr>
                <w:lang w:val="en-US" w:eastAsia="de-CH"/>
              </w:rPr>
            </w:pPr>
            <w:r>
              <w:rPr>
                <w:lang w:val="en-US" w:eastAsia="de-CH"/>
              </w:rPr>
              <w:t xml:space="preserve">All the accredited laboratory applications [of Molecular Blood Group Typing as exemplified by e.g. Instand e.V., or UK NEQAS </w:t>
            </w:r>
          </w:p>
        </w:tc>
        <w:tc>
          <w:tcPr>
            <w:tcW w:w="226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B0AABA"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r>
      <w:tr w:rsidR="00EF4BEC" w:rsidRPr="007C6931" w14:paraId="472615E5" w14:textId="77777777">
        <w:trPr>
          <w:trHeight w:val="430"/>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3C4C56"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495470"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391451"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CD5A24"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07F470"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3952F7"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30A540" w14:textId="77777777" w:rsidR="00EF4BEC" w:rsidRDefault="009E2ACD">
            <w:pPr>
              <w:rPr>
                <w:lang w:val="en-US" w:eastAsia="de-CH"/>
              </w:rPr>
            </w:pPr>
            <w:r>
              <w:rPr>
                <w:lang w:val="en-US" w:eastAsia="de-CH"/>
              </w:rPr>
              <w:t>The laboratory must prospectively define core and supplemental techniques according to the Accreditation Application</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4041B9" w14:textId="77777777" w:rsidR="00EF4BEC" w:rsidRDefault="00EF4BEC">
            <w:pPr>
              <w:rPr>
                <w:lang w:val="en-US" w:eastAsia="de-CH"/>
              </w:rPr>
            </w:pPr>
          </w:p>
        </w:tc>
      </w:tr>
      <w:tr w:rsidR="00EF4BEC" w14:paraId="7B29289D" w14:textId="77777777">
        <w:trPr>
          <w:trHeight w:val="225"/>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22DB2B"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3EC675"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503512"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10C0B7"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BE09C4"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898383"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87143B" w14:textId="77777777" w:rsidR="00EF4BEC" w:rsidRDefault="009E2ACD">
            <w:pPr>
              <w:rPr>
                <w:lang w:eastAsia="de-CH"/>
              </w:rPr>
            </w:pPr>
            <w:r>
              <w:rPr>
                <w:lang w:eastAsia="de-CH"/>
              </w:rPr>
              <w:t xml:space="preserve">The laboratory must </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1FD487" w14:textId="77777777" w:rsidR="00EF4BEC" w:rsidRDefault="00EF4BEC">
            <w:pPr>
              <w:rPr>
                <w:lang w:eastAsia="de-CH"/>
              </w:rPr>
            </w:pPr>
          </w:p>
        </w:tc>
      </w:tr>
      <w:tr w:rsidR="00EF4BEC" w:rsidRPr="007C6931" w14:paraId="2A8E2705" w14:textId="77777777">
        <w:trPr>
          <w:trHeight w:val="37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5080C9D"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0D8CD5C"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84B12AC"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3181890"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E73427A"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6CA06F5"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5F79A72A" w14:textId="77777777" w:rsidR="00EF4BEC" w:rsidRDefault="009E2ACD">
            <w:pPr>
              <w:rPr>
                <w:lang w:val="en-US" w:eastAsia="de-CH"/>
              </w:rPr>
            </w:pPr>
            <w:r>
              <w:rPr>
                <w:lang w:val="en-US" w:eastAsia="de-CH"/>
              </w:rPr>
              <w:t>Prospectively document the relevant EPT schemes or workshops on an annual basis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90EDF02" w14:textId="77777777" w:rsidR="00EF4BEC" w:rsidRDefault="00EF4BEC">
            <w:pPr>
              <w:rPr>
                <w:lang w:val="en-US" w:eastAsia="de-CH"/>
              </w:rPr>
            </w:pPr>
          </w:p>
        </w:tc>
      </w:tr>
      <w:tr w:rsidR="00EF4BEC" w:rsidRPr="007C6931" w14:paraId="5A009050" w14:textId="77777777">
        <w:trPr>
          <w:trHeight w:val="37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A7BB5BF"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6F82C70"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9CDAC89"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260FA88"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D78096D"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10E6228"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3FD85DEA" w14:textId="77777777" w:rsidR="00EF4BEC" w:rsidRDefault="009E2ACD">
            <w:pPr>
              <w:rPr>
                <w:lang w:val="en-US" w:eastAsia="de-CH"/>
              </w:rPr>
            </w:pPr>
            <w:r>
              <w:rPr>
                <w:lang w:val="en-US" w:eastAsia="de-CH"/>
              </w:rPr>
              <w:t>Have a predetermined policy for testing EPT samples and must document this prior to the annual commencement of the EPT cycle</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A97BB7D" w14:textId="77777777" w:rsidR="00EF4BEC" w:rsidRDefault="00EF4BEC">
            <w:pPr>
              <w:rPr>
                <w:lang w:val="en-US" w:eastAsia="de-CH"/>
              </w:rPr>
            </w:pPr>
          </w:p>
        </w:tc>
      </w:tr>
      <w:tr w:rsidR="00EF4BEC" w14:paraId="1AE3606A" w14:textId="77777777">
        <w:trPr>
          <w:trHeight w:val="166"/>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2AD2819"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7E83B86"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3404180" w14:textId="77777777" w:rsidR="00EF4BEC" w:rsidRDefault="009E2ACD">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31D795C"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CC57831"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EA0CB5C"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79A68746" w14:textId="77777777" w:rsidR="00EF4BEC" w:rsidRDefault="009E2ACD">
            <w:pPr>
              <w:rPr>
                <w:lang w:val="en-US" w:eastAsia="de-CH"/>
              </w:rPr>
            </w:pPr>
            <w:r>
              <w:rPr>
                <w:lang w:val="en-US" w:eastAsia="de-CH"/>
              </w:rPr>
              <w:t>EPT sample must be</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4A07634" w14:textId="77777777" w:rsidR="00EF4BEC" w:rsidRDefault="00EF4BEC">
            <w:pPr>
              <w:rPr>
                <w:lang w:val="en-US" w:eastAsia="de-CH"/>
              </w:rPr>
            </w:pPr>
          </w:p>
        </w:tc>
      </w:tr>
      <w:tr w:rsidR="00EF4BEC" w:rsidRPr="007C6931" w14:paraId="0AE16040" w14:textId="77777777">
        <w:trPr>
          <w:trHeight w:val="374"/>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F68CD7"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85CEC6"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5A6463" w14:textId="77777777" w:rsidR="00EF4BEC" w:rsidRDefault="009E2ACD">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C9F75D"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239CFA"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49F5C4"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663CF7" w14:textId="77777777" w:rsidR="00EF4BEC" w:rsidRDefault="009E2ACD">
            <w:pPr>
              <w:rPr>
                <w:lang w:val="en-US" w:eastAsia="de-CH"/>
              </w:rPr>
            </w:pPr>
            <w:r>
              <w:rPr>
                <w:lang w:val="en-US" w:eastAsia="de-CH"/>
              </w:rPr>
              <w:t>Tested by the same techniques as routinely employed for clinical samples, either individually or in combination</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3DA4A0" w14:textId="77777777" w:rsidR="00EF4BEC" w:rsidRDefault="00EF4BEC">
            <w:pPr>
              <w:rPr>
                <w:lang w:val="en-US" w:eastAsia="de-CH"/>
              </w:rPr>
            </w:pPr>
          </w:p>
        </w:tc>
      </w:tr>
      <w:tr w:rsidR="00EF4BEC" w:rsidRPr="007C6931" w14:paraId="28E65FDF" w14:textId="77777777">
        <w:trPr>
          <w:gridAfter w:val="1"/>
          <w:wAfter w:w="2268" w:type="dxa"/>
          <w:trHeight w:val="191"/>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362DBA"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84EE12"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ADF68B" w14:textId="77777777" w:rsidR="00EF4BEC" w:rsidRDefault="009E2ACD">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D80059"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92259B"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B98BE3"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3888D7" w14:textId="77777777" w:rsidR="00EF4BEC" w:rsidRDefault="009E2ACD">
            <w:pPr>
              <w:rPr>
                <w:lang w:val="en-US" w:eastAsia="de-CH"/>
              </w:rPr>
            </w:pPr>
            <w:r>
              <w:rPr>
                <w:lang w:val="en-US" w:eastAsia="de-CH"/>
              </w:rPr>
              <w:t>Interpreted in a manner comparable to routine clinical samples</w:t>
            </w:r>
          </w:p>
        </w:tc>
      </w:tr>
      <w:tr w:rsidR="00EF4BEC" w:rsidRPr="007C6931" w14:paraId="552B9A65" w14:textId="77777777">
        <w:trPr>
          <w:trHeight w:val="156"/>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F8B798"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A803EE"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ABA6C4"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2976DC"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C19E9A"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EE5B20"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2ACB05" w14:textId="77777777" w:rsidR="00EF4BEC" w:rsidRDefault="009E2ACD">
            <w:pPr>
              <w:rPr>
                <w:lang w:val="en-US" w:eastAsia="de-CH"/>
              </w:rPr>
            </w:pPr>
            <w:r>
              <w:rPr>
                <w:lang w:val="en-US" w:eastAsia="de-CH"/>
              </w:rPr>
              <w:t>Minimum number of samples for EPT per year</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BB43FA" w14:textId="77777777" w:rsidR="00EF4BEC" w:rsidRDefault="00EF4BEC">
            <w:pPr>
              <w:rPr>
                <w:lang w:val="en-US" w:eastAsia="de-CH"/>
              </w:rPr>
            </w:pPr>
          </w:p>
        </w:tc>
      </w:tr>
      <w:tr w:rsidR="00EF4BEC" w:rsidRPr="007C6931" w14:paraId="0647D8CA" w14:textId="77777777">
        <w:trPr>
          <w:trHeight w:val="18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4CF06F6"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54ABEEC"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F8B1602"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5D8465C"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510062D"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2C99C27"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2B7859AA" w14:textId="77777777" w:rsidR="00EF4BEC" w:rsidRDefault="009E2ACD">
            <w:pPr>
              <w:rPr>
                <w:lang w:val="en-US" w:eastAsia="de-CH"/>
              </w:rPr>
            </w:pPr>
            <w:r>
              <w:rPr>
                <w:lang w:val="en-US" w:eastAsia="de-CH"/>
              </w:rPr>
              <w:t>The minimum number of samples applies to all techniques used to produce a final result:</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3148BE6" w14:textId="77777777" w:rsidR="00EF4BEC" w:rsidRDefault="00EF4BEC">
            <w:pPr>
              <w:rPr>
                <w:lang w:val="en-US" w:eastAsia="de-CH"/>
              </w:rPr>
            </w:pPr>
          </w:p>
        </w:tc>
      </w:tr>
      <w:tr w:rsidR="00EF4BEC" w14:paraId="26774B69" w14:textId="77777777">
        <w:trPr>
          <w:trHeight w:val="146"/>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5475E2"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3B10ED"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054C49"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4C4D7C"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455408"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B58EDF"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36E44B" w14:textId="77777777" w:rsidR="00EF4BEC" w:rsidRDefault="009E2ACD">
            <w:pPr>
              <w:rPr>
                <w:lang w:val="en-US" w:eastAsia="de-CH"/>
              </w:rPr>
            </w:pPr>
            <w:r>
              <w:rPr>
                <w:lang w:val="en-US" w:eastAsia="de-CH"/>
              </w:rPr>
              <w:t>Blood Group Genotyping: [2 times per year, 4 samples each, specificities as currently requested by Instand e.V., or UK NEQAS]</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E0DE93"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p w14:paraId="48C77243" w14:textId="77777777" w:rsidR="00EF4BEC" w:rsidRDefault="00EF4BEC">
            <w:pPr>
              <w:rPr>
                <w:lang w:eastAsia="de-CH"/>
              </w:rPr>
            </w:pPr>
          </w:p>
        </w:tc>
      </w:tr>
      <w:tr w:rsidR="00EF4BEC" w:rsidRPr="007C6931" w14:paraId="5A8043B2" w14:textId="77777777">
        <w:trPr>
          <w:trHeight w:val="26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94B12B"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5D9709"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781AFE"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B0839A"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B5720D"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E54506"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95CB06" w14:textId="77777777" w:rsidR="00EF4BEC" w:rsidRDefault="009E2ACD">
            <w:pPr>
              <w:rPr>
                <w:lang w:val="en-US" w:eastAsia="de-CH"/>
              </w:rPr>
            </w:pPr>
            <w:r>
              <w:rPr>
                <w:lang w:val="en-US" w:eastAsia="de-CH"/>
              </w:rPr>
              <w:t>For phenotyping/genotyping schemes participants must report:</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9A88D7" w14:textId="77777777" w:rsidR="00EF4BEC" w:rsidRDefault="00EF4BEC">
            <w:pPr>
              <w:rPr>
                <w:lang w:val="en-US" w:eastAsia="de-CH"/>
              </w:rPr>
            </w:pPr>
          </w:p>
        </w:tc>
      </w:tr>
      <w:tr w:rsidR="00EF4BEC" w:rsidRPr="007C6931" w14:paraId="4B254221" w14:textId="77777777">
        <w:trPr>
          <w:trHeight w:val="23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B1E839"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267D0B"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97DA87"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A7241D"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2159C9"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7E2C85"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7E9C24" w14:textId="77777777" w:rsidR="00EF4BEC" w:rsidRDefault="009E2ACD">
            <w:pPr>
              <w:rPr>
                <w:lang w:val="en-US" w:eastAsia="de-CH"/>
              </w:rPr>
            </w:pPr>
            <w:r>
              <w:rPr>
                <w:lang w:val="en-US" w:eastAsia="de-CH"/>
              </w:rPr>
              <w:t>The antigen specificities and alleles identified</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390943" w14:textId="77777777" w:rsidR="00EF4BEC" w:rsidRDefault="00EF4BEC">
            <w:pPr>
              <w:rPr>
                <w:lang w:val="en-US" w:eastAsia="de-CH"/>
              </w:rPr>
            </w:pPr>
          </w:p>
        </w:tc>
      </w:tr>
      <w:tr w:rsidR="00EF4BEC" w14:paraId="70433AC1" w14:textId="77777777">
        <w:trPr>
          <w:trHeight w:val="22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66D051"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529595"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414D2C"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3A54DF"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D6B837"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660193"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575E50" w14:textId="77777777" w:rsidR="00EF4BEC" w:rsidRDefault="009E2ACD">
            <w:pPr>
              <w:rPr>
                <w:lang w:eastAsia="de-CH"/>
              </w:rPr>
            </w:pPr>
            <w:r>
              <w:rPr>
                <w:lang w:eastAsia="de-CH"/>
              </w:rPr>
              <w:t>The method(s) used</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C9EAD8" w14:textId="77777777" w:rsidR="00EF4BEC" w:rsidRDefault="00EF4BEC">
            <w:pPr>
              <w:rPr>
                <w:lang w:eastAsia="de-CH"/>
              </w:rPr>
            </w:pPr>
          </w:p>
        </w:tc>
      </w:tr>
      <w:tr w:rsidR="00EF4BEC" w14:paraId="145C801B" w14:textId="77777777">
        <w:trPr>
          <w:trHeight w:val="21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31F998"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41233F"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F1F85C"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D1BE68"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828595"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4B6AE3"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50646C" w14:textId="77777777" w:rsidR="00EF4BEC" w:rsidRDefault="009E2ACD">
            <w:pPr>
              <w:rPr>
                <w:lang w:eastAsia="de-CH"/>
              </w:rPr>
            </w:pPr>
            <w:r>
              <w:rPr>
                <w:lang w:eastAsia="de-CH"/>
              </w:rPr>
              <w:t>Laboratory performance</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297AE6" w14:textId="77777777" w:rsidR="00EF4BEC" w:rsidRDefault="00EF4BEC">
            <w:pPr>
              <w:rPr>
                <w:lang w:eastAsia="de-CH"/>
              </w:rPr>
            </w:pPr>
          </w:p>
        </w:tc>
      </w:tr>
      <w:tr w:rsidR="00EF4BEC" w14:paraId="385C3147" w14:textId="77777777">
        <w:trPr>
          <w:trHeight w:val="58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AB4847"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0095AC"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7AC511"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E7185B" w14:textId="77777777" w:rsidR="00EF4BEC" w:rsidRDefault="00EF4BEC">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9E4C93"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EC846F"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A178C7" w14:textId="77777777" w:rsidR="00EF4BEC" w:rsidRDefault="009E2ACD">
            <w:pPr>
              <w:rPr>
                <w:lang w:val="en-US" w:eastAsia="de-CH"/>
              </w:rPr>
            </w:pPr>
            <w:r>
              <w:rPr>
                <w:lang w:val="en-US" w:eastAsia="de-CH"/>
              </w:rPr>
              <w:t>Participating laboratories must ensure that all the following EPT-related documents are maintained and are made available to [</w:t>
            </w:r>
            <w:r>
              <w:rPr>
                <w:strike/>
                <w:lang w:val="en-US" w:eastAsia="de-CH"/>
              </w:rPr>
              <w:t>EFI</w:t>
            </w:r>
            <w:r>
              <w:rPr>
                <w:lang w:val="en-US" w:eastAsia="de-CH"/>
              </w:rPr>
              <w:t>] inspectors [of the Swiss Accreditation Service (SAS)] for assessment:</w:t>
            </w:r>
          </w:p>
        </w:tc>
        <w:tc>
          <w:tcPr>
            <w:tcW w:w="226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A35E10"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r>
      <w:tr w:rsidR="00EF4BEC" w:rsidRPr="007C6931" w14:paraId="70DCCEE7" w14:textId="77777777">
        <w:trPr>
          <w:trHeight w:val="14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DB43BD"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C2866C"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ABB221"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DD6E1C" w14:textId="77777777" w:rsidR="00EF4BEC" w:rsidRDefault="009E2ACD">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D60502"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8AF998"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95E3DC" w14:textId="77777777" w:rsidR="00EF4BEC" w:rsidRDefault="009E2ACD">
            <w:pPr>
              <w:rPr>
                <w:lang w:val="en-US" w:eastAsia="de-CH"/>
              </w:rPr>
            </w:pPr>
            <w:r>
              <w:rPr>
                <w:lang w:val="en-US" w:eastAsia="de-CH"/>
              </w:rPr>
              <w:t>All data and analyses produced for all techniques</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5325C5" w14:textId="77777777" w:rsidR="00EF4BEC" w:rsidRDefault="00EF4BEC">
            <w:pPr>
              <w:rPr>
                <w:lang w:val="en-US" w:eastAsia="de-CH"/>
              </w:rPr>
            </w:pPr>
          </w:p>
        </w:tc>
      </w:tr>
      <w:tr w:rsidR="00EF4BEC" w:rsidRPr="007C6931" w14:paraId="114CC943" w14:textId="77777777">
        <w:trPr>
          <w:trHeight w:val="25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FA7A0A"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28B0DD"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160951"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704C01" w14:textId="77777777" w:rsidR="00EF4BEC" w:rsidRDefault="009E2ACD">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20ABA3"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656DFF"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39AB20" w14:textId="77777777" w:rsidR="00EF4BEC" w:rsidRDefault="009E2ACD">
            <w:pPr>
              <w:rPr>
                <w:lang w:val="en-US" w:eastAsia="de-CH"/>
              </w:rPr>
            </w:pPr>
            <w:r>
              <w:rPr>
                <w:lang w:val="en-US" w:eastAsia="de-CH"/>
              </w:rPr>
              <w:t xml:space="preserve">Results submitted to the EPT </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66BC26" w14:textId="77777777" w:rsidR="00EF4BEC" w:rsidRDefault="00EF4BEC">
            <w:pPr>
              <w:rPr>
                <w:lang w:val="en-US" w:eastAsia="de-CH"/>
              </w:rPr>
            </w:pPr>
          </w:p>
        </w:tc>
      </w:tr>
      <w:tr w:rsidR="00EF4BEC" w14:paraId="0D8A52CD" w14:textId="77777777">
        <w:trPr>
          <w:trHeight w:val="26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D1BF72"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AA436C"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E932E5"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52388E"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5096B8"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B309DB"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8DD785" w14:textId="77777777" w:rsidR="00EF4BEC" w:rsidRDefault="009E2ACD">
            <w:pPr>
              <w:rPr>
                <w:lang w:eastAsia="de-CH"/>
              </w:rPr>
            </w:pPr>
            <w:r>
              <w:rPr>
                <w:lang w:eastAsia="de-CH"/>
              </w:rPr>
              <w:t>EPT summary/scheme reports</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91F5AA" w14:textId="77777777" w:rsidR="00EF4BEC" w:rsidRDefault="00EF4BEC">
            <w:pPr>
              <w:rPr>
                <w:lang w:eastAsia="de-CH"/>
              </w:rPr>
            </w:pPr>
          </w:p>
        </w:tc>
      </w:tr>
      <w:tr w:rsidR="00EF4BEC" w:rsidRPr="007C6931" w14:paraId="3D34F061" w14:textId="77777777">
        <w:trPr>
          <w:trHeight w:val="25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97465C" w14:textId="77777777" w:rsidR="00EF4BEC" w:rsidRDefault="009E2ACD">
            <w:pPr>
              <w:rPr>
                <w:lang w:eastAsia="de-CH"/>
              </w:rPr>
            </w:pPr>
            <w:r>
              <w:rPr>
                <w:lang w:eastAsia="de-CH"/>
              </w:rPr>
              <w:lastRenderedPageBreak/>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7300A0"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EBE5B9"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D8BDC0" w14:textId="77777777" w:rsidR="00EF4BEC" w:rsidRDefault="009E2ACD">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F45CE6"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9C97A1"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71DE8B" w14:textId="77777777" w:rsidR="00EF4BEC" w:rsidRDefault="009E2ACD">
            <w:pPr>
              <w:rPr>
                <w:lang w:val="en-US" w:eastAsia="de-CH"/>
              </w:rPr>
            </w:pPr>
            <w:r>
              <w:rPr>
                <w:lang w:val="en-US" w:eastAsia="de-CH"/>
              </w:rPr>
              <w:t xml:space="preserve">Certificates generated by the EPT Provider </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735948" w14:textId="77777777" w:rsidR="00EF4BEC" w:rsidRDefault="00EF4BEC">
            <w:pPr>
              <w:rPr>
                <w:lang w:val="en-US" w:eastAsia="de-CH"/>
              </w:rPr>
            </w:pPr>
          </w:p>
        </w:tc>
      </w:tr>
      <w:tr w:rsidR="00EF4BEC" w:rsidRPr="007C6931" w14:paraId="259D8676" w14:textId="77777777">
        <w:trPr>
          <w:trHeight w:val="228"/>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2F68F2F"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7DFBEAA"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DA24944"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5E17072"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4A3AED6"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6773775"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56977D09" w14:textId="77777777" w:rsidR="00EF4BEC" w:rsidRDefault="009E2ACD">
            <w:pPr>
              <w:rPr>
                <w:lang w:val="en-US"/>
              </w:rPr>
            </w:pPr>
            <w:r>
              <w:rPr>
                <w:lang w:val="en-US" w:eastAsia="de-CH"/>
              </w:rPr>
              <w:t>Outcomes of investigations of any unsatisfactory results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CA4B417" w14:textId="77777777" w:rsidR="00EF4BEC" w:rsidRDefault="00EF4BEC">
            <w:pPr>
              <w:rPr>
                <w:lang w:val="en-US" w:eastAsia="de-CH"/>
              </w:rPr>
            </w:pPr>
          </w:p>
        </w:tc>
      </w:tr>
      <w:tr w:rsidR="00EF4BEC" w14:paraId="0125284A" w14:textId="77777777">
        <w:trPr>
          <w:trHeight w:val="228"/>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73C27DF" w14:textId="77777777" w:rsidR="00EF4BEC" w:rsidRDefault="009E2ACD">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9D26908" w14:textId="77777777" w:rsidR="00EF4BEC" w:rsidRDefault="009E2ACD">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8143BA3" w14:textId="77777777" w:rsidR="00EF4BEC" w:rsidRDefault="009E2ACD">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B40ACFD" w14:textId="77777777" w:rsidR="00EF4BEC" w:rsidRDefault="009E2ACD">
            <w:pPr>
              <w:rPr>
                <w:lang w:eastAsia="de-CH"/>
              </w:rPr>
            </w:pPr>
            <w:r>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B393867"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D35C719" w14:textId="77777777" w:rsidR="00EF4BEC" w:rsidRDefault="00EF4BEC">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6323D156" w14:textId="77777777" w:rsidR="00EF4BEC" w:rsidRDefault="009E2ACD">
            <w:r>
              <w:rPr>
                <w:lang w:val="en-US" w:eastAsia="de-CH"/>
              </w:rPr>
              <w:t>Corrective or preventive actions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022C67A" w14:textId="77777777" w:rsidR="00EF4BEC" w:rsidRDefault="00EF4BEC">
            <w:pPr>
              <w:rPr>
                <w:lang w:val="en-US" w:eastAsia="de-CH"/>
              </w:rPr>
            </w:pPr>
          </w:p>
        </w:tc>
      </w:tr>
    </w:tbl>
    <w:p w14:paraId="09875D01" w14:textId="77777777" w:rsidR="00EF4BEC" w:rsidRDefault="00EF4BEC">
      <w:pPr>
        <w:rPr>
          <w:lang w:val="en-US"/>
        </w:rPr>
        <w:sectPr w:rsidR="00EF4BEC">
          <w:pgSz w:w="11906" w:h="16838"/>
          <w:pgMar w:top="1417" w:right="1417" w:bottom="1134" w:left="1417" w:header="708" w:footer="249" w:gutter="0"/>
          <w:cols w:space="708"/>
          <w:docGrid w:linePitch="360"/>
        </w:sectPr>
      </w:pPr>
    </w:p>
    <w:tbl>
      <w:tblPr>
        <w:tblW w:w="9284" w:type="dxa"/>
        <w:tblLayout w:type="fixed"/>
        <w:tblCellMar>
          <w:left w:w="70" w:type="dxa"/>
          <w:right w:w="70" w:type="dxa"/>
        </w:tblCellMar>
        <w:tblLook w:val="04A0" w:firstRow="1" w:lastRow="0" w:firstColumn="1" w:lastColumn="0" w:noHBand="0" w:noVBand="1"/>
      </w:tblPr>
      <w:tblGrid>
        <w:gridCol w:w="408"/>
        <w:gridCol w:w="340"/>
        <w:gridCol w:w="386"/>
        <w:gridCol w:w="236"/>
        <w:gridCol w:w="331"/>
        <w:gridCol w:w="283"/>
        <w:gridCol w:w="5346"/>
        <w:gridCol w:w="630"/>
        <w:gridCol w:w="1324"/>
      </w:tblGrid>
      <w:tr w:rsidR="00EF4BEC" w14:paraId="6153B0DC"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0792BB" w14:textId="77777777" w:rsidR="00EF4BEC" w:rsidRDefault="00EF4BEC">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94EB16" w14:textId="77777777" w:rsidR="00EF4BEC" w:rsidRDefault="00EF4BEC">
            <w:pPr>
              <w:rPr>
                <w:lang w:eastAsia="de-CH"/>
              </w:rPr>
            </w:pP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0B7057" w14:textId="77777777" w:rsidR="00EF4BEC" w:rsidRDefault="00EF4BEC">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E1846C"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A1F80E"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B5FC3D"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tcPr>
          <w:p w14:paraId="119A911F" w14:textId="77777777" w:rsidR="00EF4BEC" w:rsidRDefault="009E2ACD">
            <w:r>
              <w:rPr>
                <w:bCs/>
                <w:noProof/>
                <w:lang w:eastAsia="de-CH"/>
              </w:rPr>
              <mc:AlternateContent>
                <mc:Choice Requires="wpg">
                  <w:drawing>
                    <wp:anchor distT="0" distB="0" distL="114300" distR="114300" simplePos="0" relativeHeight="251662336" behindDoc="0" locked="0" layoutInCell="1" allowOverlap="1" wp14:anchorId="62E61799" wp14:editId="30242EA3">
                      <wp:simplePos x="0" y="0"/>
                      <wp:positionH relativeFrom="column">
                        <wp:posOffset>1363980</wp:posOffset>
                      </wp:positionH>
                      <wp:positionV relativeFrom="paragraph">
                        <wp:posOffset>-5080</wp:posOffset>
                      </wp:positionV>
                      <wp:extent cx="270663" cy="249878"/>
                      <wp:effectExtent l="0" t="0" r="0" b="0"/>
                      <wp:wrapNone/>
                      <wp:docPr id="7" name="Grafik 6"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Users\bncsmast\AppData\Local\Microsoft\Windows\INetCache\Content.MSO\B8A4A257.tmp"/>
                              <pic:cNvPicPr>
                                <a:picLocks noChangeAspect="1"/>
                              </pic:cNvPicPr>
                            </pic:nvPicPr>
                            <pic:blipFill>
                              <a:blip r:embed="rId25"/>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mso-wrap-distance-left:9.0pt;mso-wrap-distance-top:0.0pt;mso-wrap-distance-right:9.0pt;mso-wrap-distance-bottom:0.0pt;z-index:251662336;o:allowoverlap:true;o:allowincell:true;mso-position-horizontal-relative:text;margin-left:107.4pt;mso-position-horizontal:absolute;mso-position-vertical-relative:text;margin-top:-0.4pt;mso-position-vertical:absolute;width:21.3pt;height:19.7pt;" stroked="f">
                      <v:path textboxrect="0,0,0,0"/>
                      <v:imagedata r:id="rId26" o:title=""/>
                    </v:shape>
                  </w:pict>
                </mc:Fallback>
              </mc:AlternateContent>
            </w:r>
            <w:r>
              <w:rPr>
                <w:lang w:eastAsia="de-CH"/>
              </w:rPr>
              <w:t>E. Analysis processes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BE0762"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2E327D" w14:textId="77777777" w:rsidR="00EF4BEC" w:rsidRDefault="00EF4BEC">
            <w:pPr>
              <w:rPr>
                <w:lang w:eastAsia="de-CH"/>
              </w:rPr>
            </w:pPr>
          </w:p>
        </w:tc>
      </w:tr>
      <w:tr w:rsidR="00EF4BEC" w14:paraId="2E03BAE9"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B4E4C0"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B88B1E" w14:textId="77777777" w:rsidR="00EF4BEC" w:rsidRDefault="009E2ACD">
            <w:pPr>
              <w:rPr>
                <w:lang w:eastAsia="de-CH"/>
              </w:rPr>
            </w:pPr>
            <w:r>
              <w:rPr>
                <w:lang w:eastAsia="de-CH"/>
              </w:rPr>
              <w:t>2</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BDD0EB" w14:textId="77777777" w:rsidR="00EF4BEC" w:rsidRDefault="009E2ACD">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04AB19"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24D537"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1497D7"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11EC6C" w14:textId="77777777" w:rsidR="00EF4BEC" w:rsidRDefault="009E2ACD">
            <w:pPr>
              <w:rPr>
                <w:lang w:eastAsia="de-CH"/>
              </w:rPr>
            </w:pPr>
            <w:r>
              <w:rPr>
                <w:lang w:eastAsia="de-CH"/>
              </w:rPr>
              <w:t>Thermal Cyclers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A7B27E"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775BA5" w14:textId="77777777" w:rsidR="00EF4BEC" w:rsidRDefault="00EF4BEC">
            <w:pPr>
              <w:rPr>
                <w:lang w:eastAsia="de-CH"/>
              </w:rPr>
            </w:pPr>
          </w:p>
        </w:tc>
      </w:tr>
      <w:tr w:rsidR="00EF4BEC" w:rsidRPr="007C6931" w14:paraId="47777EB1"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263AC2"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A91492" w14:textId="77777777" w:rsidR="00EF4BEC" w:rsidRDefault="009E2ACD">
            <w:pPr>
              <w:rPr>
                <w:lang w:eastAsia="de-CH"/>
              </w:rPr>
            </w:pPr>
            <w:r>
              <w:rPr>
                <w:lang w:eastAsia="de-CH"/>
              </w:rPr>
              <w:t>2</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86F4B0" w14:textId="77777777" w:rsidR="00EF4BEC" w:rsidRDefault="009E2ACD">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65E0FF"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758768"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D8627F"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476114" w14:textId="77777777" w:rsidR="00EF4BEC" w:rsidRDefault="009E2ACD">
            <w:pPr>
              <w:rPr>
                <w:lang w:val="en-US" w:eastAsia="de-CH"/>
              </w:rPr>
            </w:pPr>
            <w:r>
              <w:rPr>
                <w:lang w:val="en-US" w:eastAsia="de-CH"/>
              </w:rPr>
              <w:t xml:space="preserve">Accuracy of thermal cycling instruments: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6405EC"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43F76B" w14:textId="77777777" w:rsidR="00EF4BEC" w:rsidRDefault="00EF4BEC">
            <w:pPr>
              <w:rPr>
                <w:lang w:val="en-US" w:eastAsia="de-CH"/>
              </w:rPr>
            </w:pPr>
          </w:p>
        </w:tc>
      </w:tr>
      <w:tr w:rsidR="00EF4BEC" w:rsidRPr="007C6931" w14:paraId="04F0FA32"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441654"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19800A" w14:textId="77777777" w:rsidR="00EF4BEC" w:rsidRDefault="009E2ACD">
            <w:pPr>
              <w:rPr>
                <w:lang w:eastAsia="de-CH"/>
              </w:rPr>
            </w:pPr>
            <w:r>
              <w:rPr>
                <w:lang w:eastAsia="de-CH"/>
              </w:rPr>
              <w:t>2</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51CC35" w14:textId="77777777" w:rsidR="00EF4BEC" w:rsidRDefault="009E2ACD">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13FF86"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3E6B3B"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A48F14"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11B82D" w14:textId="77777777" w:rsidR="00EF4BEC" w:rsidRDefault="009E2ACD">
            <w:pPr>
              <w:rPr>
                <w:lang w:val="en-US" w:eastAsia="de-CH"/>
              </w:rPr>
            </w:pPr>
            <w:r>
              <w:rPr>
                <w:lang w:val="en-US" w:eastAsia="de-CH"/>
              </w:rPr>
              <w:t xml:space="preserve">Must be verified by annual thermal verification of the block using a calibrated device designed specifically for this purpose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D35BE2"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78B627" w14:textId="77777777" w:rsidR="00EF4BEC" w:rsidRDefault="00EF4BEC">
            <w:pPr>
              <w:rPr>
                <w:lang w:val="en-US" w:eastAsia="de-CH"/>
              </w:rPr>
            </w:pPr>
          </w:p>
        </w:tc>
      </w:tr>
      <w:tr w:rsidR="00EF4BEC" w:rsidRPr="007C6931" w14:paraId="6C4D3949"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BB05BD"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D7F8A1"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6A1194"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31337B"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90D1EB"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D21537"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84A7BC" w14:textId="77777777" w:rsidR="00EF4BEC" w:rsidRDefault="009E2ACD">
            <w:pPr>
              <w:rPr>
                <w:lang w:val="en-US" w:eastAsia="de-CH"/>
              </w:rPr>
            </w:pPr>
            <w:r>
              <w:rPr>
                <w:lang w:val="en-US" w:eastAsia="de-CH"/>
              </w:rPr>
              <w:t>Reagents for nucleic acid analysis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23BF72"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7464D5" w14:textId="77777777" w:rsidR="00EF4BEC" w:rsidRDefault="00EF4BEC">
            <w:pPr>
              <w:rPr>
                <w:lang w:val="en-US" w:eastAsia="de-CH"/>
              </w:rPr>
            </w:pPr>
          </w:p>
        </w:tc>
      </w:tr>
      <w:tr w:rsidR="00EF4BEC" w:rsidRPr="007C6931" w14:paraId="0F9238D0" w14:textId="77777777">
        <w:trPr>
          <w:trHeight w:val="434"/>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9B93A9"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7CBB33"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265039"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E05322"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E1EA36"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E2EF8F"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0D27E7" w14:textId="77777777" w:rsidR="00EF4BEC" w:rsidRDefault="009E2ACD">
            <w:pPr>
              <w:rPr>
                <w:lang w:val="en-US" w:eastAsia="de-CH"/>
              </w:rPr>
            </w:pPr>
            <w:r>
              <w:rPr>
                <w:lang w:val="en-US" w:eastAsia="de-CH"/>
              </w:rPr>
              <w:t xml:space="preserve">The appropriate performance of individual products must be documented before results using these reagents are reported for: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C09292"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C3DA15" w14:textId="77777777" w:rsidR="00EF4BEC" w:rsidRDefault="00EF4BEC">
            <w:pPr>
              <w:rPr>
                <w:lang w:val="en-US" w:eastAsia="de-CH"/>
              </w:rPr>
            </w:pPr>
          </w:p>
        </w:tc>
      </w:tr>
      <w:tr w:rsidR="00EF4BEC" w14:paraId="739DDCAD"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9A4D97"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9F8560"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CCA6E5"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2B4BC6"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06C7B0"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27A631"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1F9E48" w14:textId="77777777" w:rsidR="00EF4BEC" w:rsidRDefault="009E2ACD">
            <w:pPr>
              <w:rPr>
                <w:lang w:eastAsia="de-CH"/>
              </w:rPr>
            </w:pPr>
            <w:r>
              <w:rPr>
                <w:lang w:eastAsia="de-CH"/>
              </w:rPr>
              <w:t xml:space="preserve">Each shipment, and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08335A"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A70600" w14:textId="77777777" w:rsidR="00EF4BEC" w:rsidRDefault="00EF4BEC">
            <w:pPr>
              <w:rPr>
                <w:lang w:eastAsia="de-CH"/>
              </w:rPr>
            </w:pPr>
          </w:p>
        </w:tc>
      </w:tr>
      <w:tr w:rsidR="00EF4BEC" w14:paraId="05CE672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27DF46"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AD2ED0"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E9A5C0"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887578"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0F3159"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E4D203"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599D27" w14:textId="77777777" w:rsidR="00EF4BEC" w:rsidRDefault="009E2ACD">
            <w:pPr>
              <w:rPr>
                <w:lang w:eastAsia="de-CH"/>
              </w:rPr>
            </w:pPr>
            <w:r>
              <w:rPr>
                <w:lang w:eastAsia="de-CH"/>
              </w:rPr>
              <w:t xml:space="preserve">Each lot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EE9D09"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0B4120" w14:textId="77777777" w:rsidR="00EF4BEC" w:rsidRDefault="00EF4BEC">
            <w:pPr>
              <w:rPr>
                <w:lang w:eastAsia="de-CH"/>
              </w:rPr>
            </w:pPr>
          </w:p>
        </w:tc>
      </w:tr>
      <w:tr w:rsidR="00EF4BEC" w:rsidRPr="007C6931" w14:paraId="3B256BD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59219B"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6B259B"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8E6D2C"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FEFDDC"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5DC8B3"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E94476"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F416A4" w14:textId="77777777" w:rsidR="00EF4BEC" w:rsidRDefault="009E2ACD">
            <w:pPr>
              <w:rPr>
                <w:lang w:val="en-US" w:eastAsia="de-CH"/>
              </w:rPr>
            </w:pPr>
            <w:r>
              <w:rPr>
                <w:lang w:val="en-US" w:eastAsia="de-CH"/>
              </w:rPr>
              <w:t xml:space="preserve">For commercial kits, the following information must be documented: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157F20"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BAB7AE" w14:textId="77777777" w:rsidR="00EF4BEC" w:rsidRDefault="00EF4BEC">
            <w:pPr>
              <w:rPr>
                <w:lang w:val="en-US" w:eastAsia="de-CH"/>
              </w:rPr>
            </w:pPr>
          </w:p>
        </w:tc>
      </w:tr>
      <w:tr w:rsidR="00EF4BEC" w14:paraId="02B20A7C"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A825CD"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BEF081"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1D6632"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E66422"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9C2946"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E80964"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BD2C8D" w14:textId="77777777" w:rsidR="00EF4BEC" w:rsidRDefault="009E2ACD">
            <w:pPr>
              <w:rPr>
                <w:lang w:eastAsia="de-CH"/>
              </w:rPr>
            </w:pPr>
            <w:r>
              <w:rPr>
                <w:lang w:eastAsia="de-CH"/>
              </w:rPr>
              <w:t xml:space="preserve">Source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62F44A"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429745" w14:textId="77777777" w:rsidR="00EF4BEC" w:rsidRDefault="00EF4BEC">
            <w:pPr>
              <w:rPr>
                <w:lang w:eastAsia="de-CH"/>
              </w:rPr>
            </w:pPr>
          </w:p>
        </w:tc>
      </w:tr>
      <w:tr w:rsidR="00EF4BEC" w14:paraId="009BF73C"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48F76A"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48521D"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82DA46"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FCAD63"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946F7A"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858437"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2E3D93" w14:textId="77777777" w:rsidR="00EF4BEC" w:rsidRDefault="009E2ACD">
            <w:pPr>
              <w:rPr>
                <w:lang w:eastAsia="de-CH"/>
              </w:rPr>
            </w:pPr>
            <w:r>
              <w:rPr>
                <w:lang w:eastAsia="de-CH"/>
              </w:rPr>
              <w:t xml:space="preserve">Lot number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FCF32A"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096608" w14:textId="77777777" w:rsidR="00EF4BEC" w:rsidRDefault="00EF4BEC">
            <w:pPr>
              <w:rPr>
                <w:lang w:eastAsia="de-CH"/>
              </w:rPr>
            </w:pPr>
          </w:p>
        </w:tc>
      </w:tr>
      <w:tr w:rsidR="00EF4BEC" w14:paraId="187916C1"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68605B"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457FAB"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3F84D6"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D7C4AF"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A1373A"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D09B1D"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DB88DF" w14:textId="77777777" w:rsidR="00EF4BEC" w:rsidRDefault="009E2ACD">
            <w:pPr>
              <w:rPr>
                <w:lang w:eastAsia="de-CH"/>
              </w:rPr>
            </w:pPr>
            <w:r>
              <w:rPr>
                <w:lang w:eastAsia="de-CH"/>
              </w:rPr>
              <w:t xml:space="preserve">Expiry date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1E849E"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D25E50" w14:textId="77777777" w:rsidR="00EF4BEC" w:rsidRDefault="00EF4BEC">
            <w:pPr>
              <w:rPr>
                <w:lang w:eastAsia="de-CH"/>
              </w:rPr>
            </w:pPr>
          </w:p>
        </w:tc>
      </w:tr>
      <w:tr w:rsidR="00EF4BEC" w14:paraId="796D6EEA"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6AAEF8"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C75D86"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5BBA38"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03B654"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76B95D" w14:textId="77777777" w:rsidR="00EF4BEC" w:rsidRDefault="009E2ACD">
            <w:pPr>
              <w:rPr>
                <w:lang w:eastAsia="de-CH"/>
              </w:rPr>
            </w:pPr>
            <w:r>
              <w:rPr>
                <w:lang w:eastAsia="de-CH"/>
              </w:rPr>
              <w:t>4</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B20093"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CCCE6F" w14:textId="77777777" w:rsidR="00EF4BEC" w:rsidRDefault="009E2ACD">
            <w:pPr>
              <w:rPr>
                <w:lang w:eastAsia="de-CH"/>
              </w:rPr>
            </w:pPr>
            <w:r>
              <w:rPr>
                <w:lang w:eastAsia="de-CH"/>
              </w:rPr>
              <w:t xml:space="preserve">Storage conditions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1859A9"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3459FF" w14:textId="77777777" w:rsidR="00EF4BEC" w:rsidRDefault="00EF4BEC">
            <w:pPr>
              <w:rPr>
                <w:lang w:eastAsia="de-CH"/>
              </w:rPr>
            </w:pPr>
          </w:p>
        </w:tc>
      </w:tr>
      <w:tr w:rsidR="00EF4BEC" w:rsidRPr="007C6931" w14:paraId="7CE09D9C"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7644FAB2"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4F5269E3"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27B5009C"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65E51DA9"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21AFD70E" w14:textId="77777777" w:rsidR="00EF4BEC" w:rsidRDefault="009E2ACD">
            <w:pPr>
              <w:rPr>
                <w:lang w:eastAsia="de-CH"/>
              </w:rPr>
            </w:pPr>
            <w:r>
              <w:rPr>
                <w:lang w:eastAsia="de-CH"/>
              </w:rPr>
              <w:t>5</w:t>
            </w:r>
          </w:p>
        </w:tc>
        <w:tc>
          <w:tcPr>
            <w:tcW w:w="283"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1D9F4D2"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51921A18" w14:textId="77777777" w:rsidR="00EF4BEC" w:rsidRDefault="009E2ACD">
            <w:pPr>
              <w:rPr>
                <w:lang w:val="en-US" w:eastAsia="de-CH"/>
              </w:rPr>
            </w:pPr>
            <w:r>
              <w:rPr>
                <w:lang w:val="en-US" w:eastAsia="de-CH"/>
              </w:rPr>
              <w:t xml:space="preserve">Test each lot and shipment of commercial kits against at least one DNA sample of known type </w:t>
            </w:r>
          </w:p>
        </w:tc>
        <w:tc>
          <w:tcPr>
            <w:tcW w:w="63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CFFE3A8"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2FCD952D" w14:textId="77777777" w:rsidR="00EF4BEC" w:rsidRDefault="00EF4BEC">
            <w:pPr>
              <w:rPr>
                <w:lang w:val="en-US" w:eastAsia="de-CH"/>
              </w:rPr>
            </w:pPr>
          </w:p>
        </w:tc>
      </w:tr>
      <w:tr w:rsidR="00EF4BEC" w:rsidRPr="007C6931" w14:paraId="4867EBC4"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0B67B3"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962BF2"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20CEA8"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A50AE1" w14:textId="77777777" w:rsidR="00EF4BEC" w:rsidRDefault="009E2ACD">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9F195B"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9C73B5"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0F8A58" w14:textId="77777777" w:rsidR="00EF4BEC" w:rsidRDefault="009E2ACD">
            <w:pPr>
              <w:rPr>
                <w:lang w:val="en-US" w:eastAsia="de-CH"/>
              </w:rPr>
            </w:pPr>
            <w:r>
              <w:rPr>
                <w:lang w:val="en-US" w:eastAsia="de-CH"/>
              </w:rPr>
              <w:t xml:space="preserve">Reagents from different lots of commercial kits must not be mixed, unless either: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3B3686"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A78361" w14:textId="77777777" w:rsidR="00EF4BEC" w:rsidRDefault="00EF4BEC">
            <w:pPr>
              <w:rPr>
                <w:lang w:val="en-US" w:eastAsia="de-CH"/>
              </w:rPr>
            </w:pPr>
          </w:p>
        </w:tc>
      </w:tr>
      <w:tr w:rsidR="00EF4BEC" w:rsidRPr="007C6931" w14:paraId="4A3A70DE"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CC9BA3"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7BA976"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20E744"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54D58C" w14:textId="77777777" w:rsidR="00EF4BEC" w:rsidRDefault="009E2ACD">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913E64"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1356B3"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F1D8BC" w14:textId="77777777" w:rsidR="00EF4BEC" w:rsidRDefault="009E2ACD">
            <w:pPr>
              <w:rPr>
                <w:lang w:val="en-US" w:eastAsia="de-CH"/>
              </w:rPr>
            </w:pPr>
            <w:r>
              <w:rPr>
                <w:lang w:val="en-US" w:eastAsia="de-CH"/>
              </w:rPr>
              <w:t xml:space="preserve">Specified by the manufacturer, or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14779E"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3DC1A3" w14:textId="77777777" w:rsidR="00EF4BEC" w:rsidRDefault="00EF4BEC">
            <w:pPr>
              <w:rPr>
                <w:lang w:val="en-US" w:eastAsia="de-CH"/>
              </w:rPr>
            </w:pPr>
          </w:p>
        </w:tc>
      </w:tr>
      <w:tr w:rsidR="00EF4BEC" w:rsidRPr="007C6931" w14:paraId="5BCCE9F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08C8A5"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062D2B"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FFB28C"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717C39" w14:textId="77777777" w:rsidR="00EF4BEC" w:rsidRDefault="009E2ACD">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B78EF7"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F4881A"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161646" w14:textId="77777777" w:rsidR="00EF4BEC" w:rsidRDefault="009E2ACD">
            <w:pPr>
              <w:rPr>
                <w:lang w:val="en-US" w:eastAsia="de-CH"/>
              </w:rPr>
            </w:pPr>
            <w:r>
              <w:rPr>
                <w:lang w:val="en-US" w:eastAsia="de-CH"/>
              </w:rPr>
              <w:t xml:space="preserve">Validated and documented with appropriate quality control in the laboratory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616A8D"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416503" w14:textId="77777777" w:rsidR="00EF4BEC" w:rsidRDefault="00EF4BEC">
            <w:pPr>
              <w:rPr>
                <w:lang w:val="en-US" w:eastAsia="de-CH"/>
              </w:rPr>
            </w:pPr>
          </w:p>
        </w:tc>
      </w:tr>
      <w:tr w:rsidR="00EF4BEC" w14:paraId="44B5DFD2" w14:textId="77777777">
        <w:trPr>
          <w:trHeight w:val="283"/>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39C788"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A89BD3"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6ECB50" w14:textId="77777777" w:rsidR="00EF4BEC" w:rsidRDefault="009E2ACD">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7A97DA" w14:textId="77777777" w:rsidR="00EF4BEC" w:rsidRDefault="009E2ACD">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204D3B"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3F8B67"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D3C662" w14:textId="77777777" w:rsidR="00EF4BEC" w:rsidRDefault="009E2ACD">
            <w:pPr>
              <w:rPr>
                <w:lang w:eastAsia="de-CH"/>
              </w:rPr>
            </w:pPr>
            <w:r>
              <w:rPr>
                <w:lang w:eastAsia="de-CH"/>
              </w:rPr>
              <w:t xml:space="preserve">Inhouse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6E80E1"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532B6D" w14:textId="77777777" w:rsidR="00EF4BEC" w:rsidRDefault="00EF4BEC">
            <w:pPr>
              <w:rPr>
                <w:lang w:eastAsia="de-CH"/>
              </w:rPr>
            </w:pPr>
          </w:p>
        </w:tc>
      </w:tr>
      <w:tr w:rsidR="00EF4BEC" w:rsidRPr="007C6931" w14:paraId="4731F059" w14:textId="77777777">
        <w:trPr>
          <w:trHeight w:val="425"/>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58525C"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5C4972"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7A72D5"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9415BE" w14:textId="77777777" w:rsidR="00EF4BEC" w:rsidRDefault="009E2ACD">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12F4FC"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4D5505"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C362C1" w14:textId="77777777" w:rsidR="00EF4BEC" w:rsidRDefault="009E2ACD">
            <w:pPr>
              <w:rPr>
                <w:lang w:val="en-US" w:eastAsia="de-CH"/>
              </w:rPr>
            </w:pPr>
            <w:r>
              <w:rPr>
                <w:lang w:val="en-US" w:eastAsia="de-CH"/>
              </w:rPr>
              <w:t xml:space="preserve">The specificity of primer combinations and the annealing positions must be defined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B059F5"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77EFA8" w14:textId="77777777" w:rsidR="00EF4BEC" w:rsidRDefault="00EF4BEC">
            <w:pPr>
              <w:rPr>
                <w:lang w:val="en-US" w:eastAsia="de-CH"/>
              </w:rPr>
            </w:pPr>
          </w:p>
        </w:tc>
      </w:tr>
      <w:tr w:rsidR="00EF4BEC" w14:paraId="1AC4F259"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DE6AE2"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B7572A"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97B1CA"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8C4975" w14:textId="77777777" w:rsidR="00EF4BEC" w:rsidRDefault="009E2ACD">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EAD462"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E2AD5C"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2182B5" w14:textId="77777777" w:rsidR="00EF4BEC" w:rsidRDefault="009E2ACD">
            <w:pPr>
              <w:rPr>
                <w:lang w:eastAsia="de-CH"/>
              </w:rPr>
            </w:pPr>
            <w:r>
              <w:rPr>
                <w:lang w:eastAsia="de-CH"/>
              </w:rPr>
              <w:t xml:space="preserve">Laboratories must: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A01CE5"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812713" w14:textId="77777777" w:rsidR="00EF4BEC" w:rsidRDefault="00EF4BEC">
            <w:pPr>
              <w:rPr>
                <w:lang w:eastAsia="de-CH"/>
              </w:rPr>
            </w:pPr>
          </w:p>
        </w:tc>
      </w:tr>
      <w:tr w:rsidR="00EF4BEC" w:rsidRPr="007C6931" w14:paraId="4CD63474"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921022"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81ACFC"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D62812"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CC234A" w14:textId="77777777" w:rsidR="00EF4BEC" w:rsidRDefault="009E2ACD">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72A52C"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377A47" w14:textId="77777777" w:rsidR="00EF4BEC" w:rsidRDefault="009E2ACD">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5AC1D9" w14:textId="77777777" w:rsidR="00EF4BEC" w:rsidRDefault="009E2ACD">
            <w:pPr>
              <w:rPr>
                <w:lang w:val="en-US" w:eastAsia="de-CH"/>
              </w:rPr>
            </w:pPr>
            <w:r>
              <w:rPr>
                <w:lang w:val="en-US" w:eastAsia="de-CH"/>
              </w:rPr>
              <w:t xml:space="preserve">Have a policy for quality control of each lot or shipment of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CB6352"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AE1130" w14:textId="77777777" w:rsidR="00EF4BEC" w:rsidRDefault="00EF4BEC">
            <w:pPr>
              <w:rPr>
                <w:lang w:val="en-US" w:eastAsia="de-CH"/>
              </w:rPr>
            </w:pPr>
          </w:p>
        </w:tc>
      </w:tr>
      <w:tr w:rsidR="00EF4BEC" w:rsidRPr="007C6931" w14:paraId="13D909A6"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A7340F"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850F32"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A4D2A5"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31E9D9" w14:textId="77777777" w:rsidR="00EF4BEC" w:rsidRDefault="009E2ACD">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E4DE82"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38EF4E" w14:textId="77777777" w:rsidR="00EF4BEC" w:rsidRDefault="009E2ACD">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414127" w14:textId="77777777" w:rsidR="00EF4BEC" w:rsidRDefault="009E2ACD">
            <w:pPr>
              <w:rPr>
                <w:lang w:val="en-US" w:eastAsia="de-CH"/>
              </w:rPr>
            </w:pPr>
            <w:r>
              <w:rPr>
                <w:lang w:val="en-US" w:eastAsia="de-CH"/>
              </w:rPr>
              <w:t xml:space="preserve">Confirm the specificity and quantity of the amplified product using reference material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6D4963"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A53B19" w14:textId="77777777" w:rsidR="00EF4BEC" w:rsidRDefault="00EF4BEC">
            <w:pPr>
              <w:rPr>
                <w:lang w:val="en-US" w:eastAsia="de-CH"/>
              </w:rPr>
            </w:pPr>
          </w:p>
        </w:tc>
      </w:tr>
      <w:tr w:rsidR="00EF4BEC" w14:paraId="70EF4D83"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53D76F"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7C84A9" w14:textId="77777777" w:rsidR="00EF4BEC" w:rsidRDefault="009E2ACD">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F9F7E0"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A713DB" w14:textId="77777777" w:rsidR="00EF4BEC" w:rsidRDefault="009E2ACD">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B19D56"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EDD1D9" w14:textId="77777777" w:rsidR="00EF4BEC" w:rsidRDefault="009E2ACD">
            <w:pPr>
              <w:rPr>
                <w:lang w:eastAsia="de-CH"/>
              </w:rPr>
            </w:pPr>
            <w:r>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9830FE" w14:textId="77777777" w:rsidR="00EF4BEC" w:rsidRDefault="00EF4BEC">
            <w:pPr>
              <w:rPr>
                <w:lang w:val="en-US" w:eastAsia="de-CH"/>
              </w:rPr>
            </w:pP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9C8533"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AEB1FF" w14:textId="77777777" w:rsidR="00EF4BEC" w:rsidRDefault="00EF4BEC">
            <w:pPr>
              <w:rPr>
                <w:lang w:val="en-US" w:eastAsia="de-CH"/>
              </w:rPr>
            </w:pPr>
          </w:p>
        </w:tc>
      </w:tr>
      <w:tr w:rsidR="00EF4BEC" w14:paraId="18EB9792"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77D9E8A"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37E907"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F383AB" w14:textId="77777777" w:rsidR="00EF4BEC" w:rsidRDefault="009E2ACD">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0EED97" w14:textId="77777777" w:rsidR="00EF4BEC" w:rsidRDefault="009E2ACD">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BDBC14"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E53FA2"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C6E0C7" w14:textId="77777777" w:rsidR="00EF4BEC" w:rsidRDefault="009E2ACD">
            <w:pPr>
              <w:rPr>
                <w:lang w:eastAsia="de-CH"/>
              </w:rPr>
            </w:pPr>
            <w:r>
              <w:rPr>
                <w:lang w:eastAsia="de-CH"/>
              </w:rPr>
              <w:t xml:space="preserve">Nucleic acid extraction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A9EB3D"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B25ECD" w14:textId="77777777" w:rsidR="00EF4BEC" w:rsidRDefault="00EF4BEC">
            <w:pPr>
              <w:rPr>
                <w:lang w:eastAsia="de-CH"/>
              </w:rPr>
            </w:pPr>
          </w:p>
        </w:tc>
      </w:tr>
      <w:tr w:rsidR="00EF4BEC" w:rsidRPr="007C6931" w14:paraId="0A24A3B6"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227F40"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789177"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716C8F"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5E53C3"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C020F5"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BD0490"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64CC92" w14:textId="77777777" w:rsidR="00EF4BEC" w:rsidRDefault="009E2ACD">
            <w:pPr>
              <w:rPr>
                <w:lang w:val="en-US" w:eastAsia="de-CH"/>
              </w:rPr>
            </w:pPr>
            <w:r>
              <w:rPr>
                <w:lang w:val="en-US" w:eastAsia="de-CH"/>
              </w:rPr>
              <w:t xml:space="preserve">The method used for nucleic acid extraction: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08E916"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E2C823" w14:textId="77777777" w:rsidR="00EF4BEC" w:rsidRDefault="00EF4BEC">
            <w:pPr>
              <w:rPr>
                <w:lang w:val="en-US" w:eastAsia="de-CH"/>
              </w:rPr>
            </w:pPr>
          </w:p>
        </w:tc>
      </w:tr>
      <w:tr w:rsidR="00EF4BEC" w:rsidRPr="007C6931" w14:paraId="4A9433B7"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A92B0D"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E55277"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99504F"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AABF90"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83E17C"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6E3AA6" w14:textId="77777777" w:rsidR="00EF4BEC" w:rsidRDefault="009E2ACD">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CCBBA9" w14:textId="77777777" w:rsidR="00EF4BEC" w:rsidRDefault="009E2ACD">
            <w:pPr>
              <w:rPr>
                <w:lang w:val="en-US" w:eastAsia="de-CH"/>
              </w:rPr>
            </w:pPr>
            <w:r>
              <w:rPr>
                <w:lang w:val="en-US" w:eastAsia="de-CH"/>
              </w:rPr>
              <w:t xml:space="preserve">Must be published and documented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481590"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7026FA" w14:textId="77777777" w:rsidR="00EF4BEC" w:rsidRDefault="00EF4BEC">
            <w:pPr>
              <w:rPr>
                <w:lang w:val="en-US" w:eastAsia="de-CH"/>
              </w:rPr>
            </w:pPr>
          </w:p>
        </w:tc>
      </w:tr>
      <w:tr w:rsidR="00EF4BEC" w:rsidRPr="007C6931" w14:paraId="6ED76FA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90C6BA"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249FD7"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14E5E1"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C3BC6E"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20C40A"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0DAC0A" w14:textId="77777777" w:rsidR="00EF4BEC" w:rsidRDefault="009E2ACD">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8DF7DC" w14:textId="77777777" w:rsidR="00EF4BEC" w:rsidRDefault="009E2ACD">
            <w:pPr>
              <w:rPr>
                <w:lang w:val="en-US" w:eastAsia="de-CH"/>
              </w:rPr>
            </w:pPr>
            <w:r>
              <w:rPr>
                <w:lang w:val="en-US" w:eastAsia="de-CH"/>
              </w:rPr>
              <w:t xml:space="preserve">Must be validated in the laboratory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6AB96B"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581983" w14:textId="77777777" w:rsidR="00EF4BEC" w:rsidRDefault="00EF4BEC">
            <w:pPr>
              <w:rPr>
                <w:lang w:val="en-US" w:eastAsia="de-CH"/>
              </w:rPr>
            </w:pPr>
          </w:p>
        </w:tc>
      </w:tr>
      <w:tr w:rsidR="00EF4BEC" w:rsidRPr="007C6931" w14:paraId="4A922B0C"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E47626"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956719"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A0F502"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E44025"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7D8D01"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9736BB"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1B75D4" w14:textId="77777777" w:rsidR="00EF4BEC" w:rsidRDefault="009E2ACD">
            <w:pPr>
              <w:rPr>
                <w:lang w:val="en-US" w:eastAsia="de-CH"/>
              </w:rPr>
            </w:pPr>
            <w:r>
              <w:rPr>
                <w:lang w:val="en-US" w:eastAsia="de-CH"/>
              </w:rPr>
              <w:t xml:space="preserve">Purity and concentration of nucleic acids: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84344F"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D7A2EC" w14:textId="77777777" w:rsidR="00EF4BEC" w:rsidRDefault="00EF4BEC">
            <w:pPr>
              <w:rPr>
                <w:lang w:val="en-US" w:eastAsia="de-CH"/>
              </w:rPr>
            </w:pPr>
          </w:p>
        </w:tc>
      </w:tr>
      <w:tr w:rsidR="00EF4BEC" w:rsidRPr="007C6931" w14:paraId="51910BB1"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8A5A2D"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B262FD"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8C5A4E"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71265F"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D9E1A8"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B2A706" w14:textId="77777777" w:rsidR="00EF4BEC" w:rsidRDefault="009E2ACD">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BE657A" w14:textId="77777777" w:rsidR="00EF4BEC" w:rsidRDefault="009E2ACD">
            <w:pPr>
              <w:rPr>
                <w:lang w:val="en-US" w:eastAsia="de-CH"/>
              </w:rPr>
            </w:pPr>
            <w:r>
              <w:rPr>
                <w:lang w:val="en-US" w:eastAsia="de-CH"/>
              </w:rPr>
              <w:t xml:space="preserve">Must be sufficient to ensure reliable test results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47BA0F"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B9A8E4" w14:textId="77777777" w:rsidR="00EF4BEC" w:rsidRDefault="00EF4BEC">
            <w:pPr>
              <w:rPr>
                <w:lang w:val="en-US" w:eastAsia="de-CH"/>
              </w:rPr>
            </w:pPr>
          </w:p>
        </w:tc>
      </w:tr>
      <w:tr w:rsidR="00EF4BEC" w:rsidRPr="007C6931" w14:paraId="451448F8" w14:textId="77777777">
        <w:trPr>
          <w:trHeight w:val="34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7A6F79"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135D8F"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F9004F"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8D8382"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FADD88"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1172F1" w14:textId="77777777" w:rsidR="00EF4BEC" w:rsidRDefault="009E2ACD">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73346F" w14:textId="77777777" w:rsidR="00EF4BEC" w:rsidRDefault="009E2ACD">
            <w:pPr>
              <w:rPr>
                <w:lang w:val="en-US" w:eastAsia="de-CH"/>
              </w:rPr>
            </w:pPr>
            <w:r>
              <w:rPr>
                <w:lang w:val="en-US" w:eastAsia="de-CH"/>
              </w:rPr>
              <w:t xml:space="preserve">Should be determined for each sample, or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AF5898"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E6A9FD" w14:textId="77777777" w:rsidR="00EF4BEC" w:rsidRDefault="00EF4BEC">
            <w:pPr>
              <w:rPr>
                <w:lang w:val="en-US" w:eastAsia="de-CH"/>
              </w:rPr>
            </w:pPr>
          </w:p>
        </w:tc>
      </w:tr>
      <w:tr w:rsidR="00EF4BEC" w:rsidRPr="007C6931" w14:paraId="41C47E68"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4027E3"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47087B"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1D286D"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A4E452"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D7E80B"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EDC80E" w14:textId="77777777" w:rsidR="00EF4BEC" w:rsidRDefault="009E2ACD">
            <w:pPr>
              <w:rPr>
                <w:lang w:eastAsia="de-CH"/>
              </w:rPr>
            </w:pPr>
            <w:r>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20CE07" w14:textId="77777777" w:rsidR="00EF4BEC" w:rsidRDefault="009E2ACD">
            <w:pPr>
              <w:rPr>
                <w:lang w:val="en-US" w:eastAsia="de-CH"/>
              </w:rPr>
            </w:pPr>
            <w:r>
              <w:rPr>
                <w:lang w:val="en-US" w:eastAsia="de-CH"/>
              </w:rPr>
              <w:t xml:space="preserve">If not determined for each sample, the laboratory must have tested and validated this policy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8CAFA6"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3B2342" w14:textId="77777777" w:rsidR="00EF4BEC" w:rsidRDefault="00EF4BEC">
            <w:pPr>
              <w:rPr>
                <w:lang w:val="en-US" w:eastAsia="de-CH"/>
              </w:rPr>
            </w:pPr>
          </w:p>
        </w:tc>
      </w:tr>
      <w:tr w:rsidR="00EF4BEC" w:rsidRPr="007C6931" w14:paraId="2DDE1859"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32370C" w14:textId="77777777" w:rsidR="00EF4BEC" w:rsidRDefault="009E2ACD">
            <w:pPr>
              <w:rPr>
                <w:lang w:eastAsia="de-CH"/>
              </w:rPr>
            </w:pPr>
            <w:r>
              <w:rPr>
                <w:lang w:eastAsia="de-CH"/>
              </w:rPr>
              <w:lastRenderedPageBreak/>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7683F9"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B1E5A3"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C3738F"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350A85"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E1546C"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70B7B5" w14:textId="77777777" w:rsidR="00EF4BEC" w:rsidRDefault="009E2ACD">
            <w:pPr>
              <w:rPr>
                <w:lang w:val="en-US" w:eastAsia="de-CH"/>
              </w:rPr>
            </w:pPr>
            <w:r>
              <w:rPr>
                <w:lang w:val="en-US" w:eastAsia="de-CH"/>
              </w:rPr>
              <w:t xml:space="preserve">If the DNA is not used immediately after purification, suitable methods of storage must be available that will protect the integrity of the material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4479FD"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08B395" w14:textId="77777777" w:rsidR="00EF4BEC" w:rsidRDefault="00EF4BEC">
            <w:pPr>
              <w:rPr>
                <w:lang w:val="en-US" w:eastAsia="de-CH"/>
              </w:rPr>
            </w:pPr>
          </w:p>
        </w:tc>
      </w:tr>
      <w:tr w:rsidR="00EF4BEC" w14:paraId="58FBEC69"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58D12B"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5D395C"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6E56FD" w14:textId="77777777" w:rsidR="00EF4BEC" w:rsidRDefault="009E2ACD">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0BF635" w14:textId="77777777" w:rsidR="00EF4BEC" w:rsidRDefault="009E2ACD">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F14856"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70F977"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1F0533" w14:textId="77777777" w:rsidR="00EF4BEC" w:rsidRDefault="009E2ACD">
            <w:pPr>
              <w:rPr>
                <w:lang w:eastAsia="de-CH"/>
              </w:rPr>
            </w:pPr>
            <w:r>
              <w:rPr>
                <w:lang w:eastAsia="de-CH"/>
              </w:rPr>
              <w:t xml:space="preserve">Electrophoresis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174D7E"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04BE0E" w14:textId="77777777" w:rsidR="00EF4BEC" w:rsidRDefault="00EF4BEC">
            <w:pPr>
              <w:rPr>
                <w:lang w:eastAsia="de-CH"/>
              </w:rPr>
            </w:pPr>
          </w:p>
        </w:tc>
      </w:tr>
      <w:tr w:rsidR="00EF4BEC" w:rsidRPr="007C6931" w14:paraId="235D5551"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A9635E"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55E438"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20EE5F"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656491" w14:textId="77777777" w:rsidR="00EF4BEC" w:rsidRDefault="009E2ACD">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CFCF09"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468D98"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B2EDD6" w14:textId="77777777" w:rsidR="00EF4BEC" w:rsidRDefault="009E2ACD">
            <w:pPr>
              <w:rPr>
                <w:lang w:val="en-US" w:eastAsia="de-CH"/>
              </w:rPr>
            </w:pPr>
            <w:r>
              <w:rPr>
                <w:lang w:val="en-US" w:eastAsia="de-CH"/>
              </w:rPr>
              <w:t>[</w:t>
            </w:r>
            <w:r>
              <w:rPr>
                <w:strike/>
                <w:lang w:val="en-US" w:eastAsia="de-CH"/>
              </w:rPr>
              <w:t>Optimal</w:t>
            </w:r>
            <w:r>
              <w:rPr>
                <w:lang w:val="en-US" w:eastAsia="de-CH"/>
              </w:rPr>
              <w:t xml:space="preserve">] Electrophoretic conditions must be documented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5B210E"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0FE8A8" w14:textId="77777777" w:rsidR="00EF4BEC" w:rsidRDefault="009E2ACD">
            <w:pPr>
              <w:rPr>
                <w:lang w:val="en-US" w:eastAsia="de-CH"/>
              </w:rPr>
            </w:pPr>
            <w:r>
              <w:rPr>
                <w:lang w:val="en-US" w:eastAsia="de-CH"/>
              </w:rPr>
              <w:t>“optimal” deleted from Standards for Molecular Blood Group Typing</w:t>
            </w:r>
          </w:p>
        </w:tc>
      </w:tr>
      <w:tr w:rsidR="00EF4BEC" w:rsidRPr="007C6931" w14:paraId="27755242"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9EC790"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5AAF90"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0DEF64"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A5C57D" w14:textId="77777777" w:rsidR="00EF4BEC" w:rsidRDefault="009E2ACD">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96377C"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DB5940"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FBD7D9" w14:textId="77777777" w:rsidR="00EF4BEC" w:rsidRDefault="009E2ACD">
            <w:pPr>
              <w:rPr>
                <w:lang w:val="en-US" w:eastAsia="de-CH"/>
              </w:rPr>
            </w:pPr>
            <w:r>
              <w:rPr>
                <w:lang w:val="en-US" w:eastAsia="de-CH"/>
              </w:rPr>
              <w:t xml:space="preserve">The laboratory must establish criteria for accepting each slab or capillary gel migration, and each lane of a gel or capillary injection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947360"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1B1806" w14:textId="77777777" w:rsidR="00EF4BEC" w:rsidRDefault="00EF4BEC">
            <w:pPr>
              <w:rPr>
                <w:lang w:val="en-US" w:eastAsia="de-CH"/>
              </w:rPr>
            </w:pPr>
          </w:p>
        </w:tc>
      </w:tr>
      <w:tr w:rsidR="00EF4BEC" w:rsidRPr="007C6931" w14:paraId="2731C2E3"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E16AAB"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C600E9"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1D9582"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FD4BCF" w14:textId="77777777" w:rsidR="00EF4BEC" w:rsidRDefault="009E2ACD">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5204C9"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8E82E2"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401FA5" w14:textId="77777777" w:rsidR="00EF4BEC" w:rsidRDefault="009E2ACD">
            <w:pPr>
              <w:rPr>
                <w:lang w:val="en-US" w:eastAsia="de-CH"/>
              </w:rPr>
            </w:pPr>
            <w:r>
              <w:rPr>
                <w:lang w:val="en-US" w:eastAsia="de-CH"/>
              </w:rPr>
              <w:t xml:space="preserve">When the size of an amplicon is a critical factor in the analysis of data, size markers that produce discrete electrophoretic bands spanning and flanking the entire range of expected fragment sizes must be included in each gel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0AED69"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42A145" w14:textId="77777777" w:rsidR="00EF4BEC" w:rsidRDefault="00EF4BEC">
            <w:pPr>
              <w:rPr>
                <w:lang w:val="en-US" w:eastAsia="de-CH"/>
              </w:rPr>
            </w:pPr>
          </w:p>
        </w:tc>
      </w:tr>
      <w:tr w:rsidR="00EF4BEC" w14:paraId="154C80EB"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0E4ABE"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56316B"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B299E8" w14:textId="77777777" w:rsidR="00EF4BEC" w:rsidRDefault="009E2ACD">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C7306C" w14:textId="77777777" w:rsidR="00EF4BEC" w:rsidRDefault="009E2ACD">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998296"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33AF27"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D32BFC" w14:textId="77777777" w:rsidR="00EF4BEC" w:rsidRDefault="009E2ACD">
            <w:pPr>
              <w:rPr>
                <w:lang w:eastAsia="de-CH"/>
              </w:rPr>
            </w:pPr>
            <w:r>
              <w:rPr>
                <w:lang w:eastAsia="de-CH"/>
              </w:rPr>
              <w:t>Analysis</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4B1A98"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480DF7" w14:textId="77777777" w:rsidR="00EF4BEC" w:rsidRDefault="00EF4BEC">
            <w:pPr>
              <w:rPr>
                <w:lang w:eastAsia="de-CH"/>
              </w:rPr>
            </w:pPr>
          </w:p>
        </w:tc>
      </w:tr>
      <w:tr w:rsidR="00EF4BEC" w:rsidRPr="007C6931" w14:paraId="6EEAA64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FA7616"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91051B"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7DB1DA"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1CD841"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A10A36"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116FDE"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FD5E9C" w14:textId="77777777" w:rsidR="00EF4BEC" w:rsidRDefault="009E2ACD">
            <w:pPr>
              <w:rPr>
                <w:lang w:val="en-US" w:eastAsia="de-CH"/>
              </w:rPr>
            </w:pPr>
            <w:r>
              <w:rPr>
                <w:lang w:val="en-US" w:eastAsia="de-CH"/>
              </w:rPr>
              <w:t xml:space="preserve">The method of allele assignment must be designated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23462C"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47F0B7" w14:textId="77777777" w:rsidR="00EF4BEC" w:rsidRDefault="00EF4BEC">
            <w:pPr>
              <w:rPr>
                <w:lang w:val="en-US" w:eastAsia="de-CH"/>
              </w:rPr>
            </w:pPr>
          </w:p>
        </w:tc>
      </w:tr>
      <w:tr w:rsidR="00EF4BEC" w:rsidRPr="007C6931" w14:paraId="42D5DB1B"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F9A6C5"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7F973B"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7D966BC"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470BE5"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A0229E"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5CB361"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5A81FC" w14:textId="77777777" w:rsidR="00EF4BEC" w:rsidRDefault="009E2ACD">
            <w:pPr>
              <w:rPr>
                <w:lang w:val="en-US" w:eastAsia="de-CH"/>
              </w:rPr>
            </w:pPr>
            <w:r>
              <w:rPr>
                <w:lang w:val="en-US" w:eastAsia="de-CH"/>
              </w:rPr>
              <w:t>The [ISBT Blood Group Allele Tables</w:t>
            </w:r>
            <w:r>
              <w:rPr>
                <w:strike/>
                <w:lang w:val="en-US" w:eastAsia="de-CH"/>
              </w:rPr>
              <w:t xml:space="preserve"> IMGT/HLA database</w:t>
            </w:r>
            <w:r>
              <w:rPr>
                <w:lang w:val="en-US" w:eastAsia="de-CH"/>
              </w:rPr>
              <w:t xml:space="preserve">] must be: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3960B0"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3F05FF" w14:textId="77777777" w:rsidR="00EF4BEC" w:rsidRDefault="009E2ACD">
            <w:pPr>
              <w:rPr>
                <w:lang w:val="en-US" w:eastAsia="de-CH"/>
              </w:rPr>
            </w:pPr>
            <w:r>
              <w:rPr>
                <w:lang w:val="en-US" w:eastAsia="de-CH"/>
              </w:rPr>
              <w:t>changed IMGT/HLA to ISBT</w:t>
            </w:r>
          </w:p>
        </w:tc>
      </w:tr>
      <w:tr w:rsidR="00EF4BEC" w14:paraId="4C0D706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4381FD"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DE7EF5"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B951C0"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81F6EF"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EB13E6"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676007" w14:textId="77777777" w:rsidR="00EF4BEC" w:rsidRDefault="009E2ACD">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DBE7F3" w14:textId="77777777" w:rsidR="00EF4BEC" w:rsidRDefault="009E2ACD">
            <w:pPr>
              <w:rPr>
                <w:lang w:eastAsia="de-CH"/>
              </w:rPr>
            </w:pPr>
            <w:r>
              <w:rPr>
                <w:lang w:eastAsia="de-CH"/>
              </w:rPr>
              <w:t xml:space="preserve">Documented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5E3568"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33D8B5" w14:textId="77777777" w:rsidR="00EF4BEC" w:rsidRDefault="00EF4BEC">
            <w:pPr>
              <w:rPr>
                <w:lang w:eastAsia="de-CH"/>
              </w:rPr>
            </w:pPr>
          </w:p>
        </w:tc>
      </w:tr>
      <w:tr w:rsidR="00EF4BEC" w:rsidRPr="007C6931" w14:paraId="76D902E9"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9DA7F6"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4156F7"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B23053"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F4BDE2"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259038"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1A9DC4" w14:textId="77777777" w:rsidR="00EF4BEC" w:rsidRDefault="009E2ACD">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2357EC" w14:textId="77777777" w:rsidR="00EF4BEC" w:rsidRDefault="009E2ACD">
            <w:pPr>
              <w:rPr>
                <w:lang w:val="en-US" w:eastAsia="de-CH"/>
              </w:rPr>
            </w:pPr>
            <w:r>
              <w:rPr>
                <w:lang w:val="en-US" w:eastAsia="de-CH"/>
              </w:rPr>
              <w:t xml:space="preserve">Updated at least once a year with the most current version of the [ISBT Blood Group Allele Tables </w:t>
            </w:r>
            <w:r>
              <w:rPr>
                <w:strike/>
                <w:lang w:val="en-US" w:eastAsia="de-CH"/>
              </w:rPr>
              <w:t>IMGT/HLA database</w:t>
            </w:r>
            <w:r>
              <w:rPr>
                <w:lang w:val="en-US" w:eastAsia="de-CH"/>
              </w:rPr>
              <w:t>]</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F0CBFB"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CE2E74" w14:textId="77777777" w:rsidR="00EF4BEC" w:rsidRDefault="009E2ACD">
            <w:pPr>
              <w:rPr>
                <w:lang w:val="en-US" w:eastAsia="de-CH"/>
              </w:rPr>
            </w:pPr>
            <w:r>
              <w:rPr>
                <w:lang w:val="en-US" w:eastAsia="de-CH"/>
              </w:rPr>
              <w:t>changed IMGT/HLA to ISBT</w:t>
            </w:r>
          </w:p>
        </w:tc>
      </w:tr>
      <w:tr w:rsidR="00EF4BEC" w:rsidRPr="007C6931" w14:paraId="3E90AD65"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519EB3"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423530"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FF252A"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4194FA"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FCF0B1" w14:textId="77777777" w:rsidR="00EF4BEC" w:rsidRDefault="009E2ACD">
            <w:pPr>
              <w:rPr>
                <w:lang w:eastAsia="de-CH"/>
              </w:rPr>
            </w:pPr>
            <w:r>
              <w:rPr>
                <w:lang w:eastAsia="de-CH"/>
              </w:rPr>
              <w:t>4</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AAA725"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DB0A83" w14:textId="77777777" w:rsidR="00EF4BEC" w:rsidRDefault="009E2ACD">
            <w:pPr>
              <w:rPr>
                <w:lang w:val="en-US" w:eastAsia="de-CH"/>
              </w:rPr>
            </w:pPr>
            <w:r>
              <w:rPr>
                <w:lang w:val="en-US" w:eastAsia="de-CH"/>
              </w:rPr>
              <w:t xml:space="preserve">If a manual allele call or interpretation of positive/negative reactions is performed for SSOP or SSP, two independent interpretations of primary data must be performed, except under justified special emergency situations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2F15C9"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63A3D3" w14:textId="77777777" w:rsidR="00EF4BEC" w:rsidRDefault="00EF4BEC">
            <w:pPr>
              <w:rPr>
                <w:lang w:val="en-US" w:eastAsia="de-CH"/>
              </w:rPr>
            </w:pPr>
          </w:p>
        </w:tc>
      </w:tr>
      <w:tr w:rsidR="00EF4BEC" w14:paraId="57C2237E"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58CA11"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4CC7DE"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9C5362" w14:textId="77777777" w:rsidR="00EF4BEC" w:rsidRDefault="009E2ACD">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37B83C" w14:textId="77777777" w:rsidR="00EF4BEC" w:rsidRDefault="009E2ACD">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A3A345"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BB8739"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3F8AE5" w14:textId="77777777" w:rsidR="00EF4BEC" w:rsidRDefault="009E2ACD">
            <w:pPr>
              <w:rPr>
                <w:lang w:val="en-US" w:eastAsia="de-CH"/>
              </w:rPr>
            </w:pPr>
            <w:r>
              <w:rPr>
                <w:lang w:val="en-US" w:eastAsia="de-CH"/>
              </w:rPr>
              <w:t>Contamination control (“wipe-test”)</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C05053"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D677E3" w14:textId="77777777" w:rsidR="00EF4BEC" w:rsidRDefault="00EF4BEC">
            <w:pPr>
              <w:rPr>
                <w:lang w:val="en-US" w:eastAsia="de-CH"/>
              </w:rPr>
            </w:pPr>
          </w:p>
        </w:tc>
      </w:tr>
      <w:tr w:rsidR="00EF4BEC" w:rsidRPr="007C6931" w14:paraId="470114E7"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D8857E"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86221F"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D7AF97"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7813C4"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9B0CDD"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4938C6"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13F07F" w14:textId="77777777" w:rsidR="00EF4BEC" w:rsidRDefault="009E2ACD">
            <w:pPr>
              <w:rPr>
                <w:lang w:val="en-US" w:eastAsia="de-CH"/>
              </w:rPr>
            </w:pPr>
            <w:r>
              <w:rPr>
                <w:lang w:val="en-US" w:eastAsia="de-CH"/>
              </w:rPr>
              <w:t xml:space="preserve">If amplified product is detected, there must be: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FE3FFB"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E96629" w14:textId="77777777" w:rsidR="00EF4BEC" w:rsidRDefault="00EF4BEC">
            <w:pPr>
              <w:rPr>
                <w:lang w:val="en-US" w:eastAsia="de-CH"/>
              </w:rPr>
            </w:pPr>
          </w:p>
        </w:tc>
      </w:tr>
      <w:tr w:rsidR="00EF4BEC" w:rsidRPr="007C6931" w14:paraId="1ABC7DA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8BABE0"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4D6E90"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978160"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4B0B7A"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042BBA"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0E4155" w14:textId="77777777" w:rsidR="00EF4BEC" w:rsidRDefault="009E2ACD">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ED2DA5" w14:textId="77777777" w:rsidR="00EF4BEC" w:rsidRDefault="009E2ACD">
            <w:pPr>
              <w:rPr>
                <w:lang w:val="en-US" w:eastAsia="de-CH"/>
              </w:rPr>
            </w:pPr>
            <w:r>
              <w:rPr>
                <w:lang w:val="en-US" w:eastAsia="de-CH"/>
              </w:rPr>
              <w:t xml:space="preserve">Written description of how to eliminate the contamination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FD15FF"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417F45" w14:textId="77777777" w:rsidR="00EF4BEC" w:rsidRDefault="00EF4BEC">
            <w:pPr>
              <w:rPr>
                <w:lang w:val="en-US" w:eastAsia="de-CH"/>
              </w:rPr>
            </w:pPr>
          </w:p>
        </w:tc>
      </w:tr>
      <w:tr w:rsidR="00EF4BEC" w:rsidRPr="007C6931" w14:paraId="63A1297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2CD4EB"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F11B20"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AAA013"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CBBFB5"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86758B"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5839D2" w14:textId="77777777" w:rsidR="00EF4BEC" w:rsidRDefault="009E2ACD">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AF35D0" w14:textId="77777777" w:rsidR="00EF4BEC" w:rsidRDefault="009E2ACD">
            <w:pPr>
              <w:rPr>
                <w:lang w:val="en-US" w:eastAsia="de-CH"/>
              </w:rPr>
            </w:pPr>
            <w:r>
              <w:rPr>
                <w:lang w:val="en-US" w:eastAsia="de-CH"/>
              </w:rPr>
              <w:t xml:space="preserve">Measures taken to prevent future contamination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B01E3D"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84F469" w14:textId="77777777" w:rsidR="00EF4BEC" w:rsidRDefault="00EF4BEC">
            <w:pPr>
              <w:rPr>
                <w:lang w:val="en-US" w:eastAsia="de-CH"/>
              </w:rPr>
            </w:pPr>
          </w:p>
        </w:tc>
      </w:tr>
      <w:tr w:rsidR="00EF4BEC" w:rsidRPr="007C6931" w14:paraId="45E07E14"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C1E6AC"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BB1FCB"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BF50EB" w14:textId="77777777" w:rsidR="00EF4BEC" w:rsidRDefault="009E2ACD">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8FF442" w14:textId="77777777" w:rsidR="00EF4BEC" w:rsidRDefault="009E2ACD">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9A4AE2"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379A2F" w14:textId="77777777" w:rsidR="00EF4BEC" w:rsidRDefault="009E2ACD">
            <w:pPr>
              <w:rPr>
                <w:lang w:eastAsia="de-CH"/>
              </w:rPr>
            </w:pPr>
            <w:r>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22B951" w14:textId="77777777" w:rsidR="00EF4BEC" w:rsidRDefault="009E2ACD">
            <w:pPr>
              <w:rPr>
                <w:lang w:val="en-US" w:eastAsia="de-CH"/>
              </w:rPr>
            </w:pPr>
            <w:r>
              <w:rPr>
                <w:lang w:val="en-US" w:eastAsia="de-CH"/>
              </w:rPr>
              <w:t xml:space="preserve">Evidence of elimination of the contamination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2C33C3"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CAA9CA" w14:textId="77777777" w:rsidR="00EF4BEC" w:rsidRDefault="00EF4BEC">
            <w:pPr>
              <w:rPr>
                <w:lang w:val="en-US" w:eastAsia="de-CH"/>
              </w:rPr>
            </w:pPr>
          </w:p>
        </w:tc>
      </w:tr>
      <w:tr w:rsidR="00EF4BEC" w14:paraId="55A11EB6"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519AFC"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B38797"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65A816" w14:textId="77777777" w:rsidR="00EF4BEC" w:rsidRDefault="009E2ACD">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EE33F9"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4CCB73"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25B526"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A33964" w14:textId="77777777" w:rsidR="00EF4BEC" w:rsidRDefault="009E2ACD">
            <w:pPr>
              <w:rPr>
                <w:lang w:val="en-US" w:eastAsia="de-CH"/>
              </w:rPr>
            </w:pPr>
            <w:r>
              <w:rPr>
                <w:lang w:val="en-US" w:eastAsia="de-CH"/>
              </w:rPr>
              <w:t xml:space="preserve">Sequence-specific primers (SSP)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DD68D9"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0C3D87" w14:textId="77777777" w:rsidR="00EF4BEC" w:rsidRDefault="00EF4BEC">
            <w:pPr>
              <w:rPr>
                <w:lang w:val="en-US" w:eastAsia="de-CH"/>
              </w:rPr>
            </w:pPr>
          </w:p>
        </w:tc>
      </w:tr>
      <w:tr w:rsidR="00EF4BEC" w14:paraId="1ADE7F01"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240E93" w14:textId="77777777" w:rsidR="00EF4BEC" w:rsidRDefault="00EF4BEC">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4FEACD" w14:textId="77777777" w:rsidR="00EF4BEC" w:rsidRDefault="00EF4BEC">
            <w:pPr>
              <w:rPr>
                <w:lang w:eastAsia="de-CH"/>
              </w:rPr>
            </w:pP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7EFACAA" w14:textId="77777777" w:rsidR="00EF4BEC" w:rsidRDefault="00EF4BEC">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BFC8B5"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837E27"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8B7310"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CA0A66" w14:textId="77777777" w:rsidR="00EF4BEC" w:rsidRDefault="009E2ACD">
            <w:pPr>
              <w:rPr>
                <w:b/>
                <w:bCs/>
                <w:lang w:val="en-US" w:eastAsia="de-CH"/>
              </w:rPr>
            </w:pPr>
            <w:r>
              <w:rPr>
                <w:b/>
                <w:bCs/>
                <w:lang w:val="en-US" w:eastAsia="de-CH"/>
              </w:rPr>
              <w:t>Comment</w:t>
            </w:r>
            <w:r>
              <w:rPr>
                <w:rStyle w:val="Kommentarzeichen"/>
                <w:lang w:val="en-US"/>
              </w:rPr>
              <w:t>:</w:t>
            </w:r>
            <w:r>
              <w:rPr>
                <w:b/>
                <w:bCs/>
                <w:lang w:val="en-US" w:eastAsia="de-CH"/>
              </w:rPr>
              <w:t xml:space="preserve"> </w:t>
            </w:r>
            <w:r>
              <w:rPr>
                <w:lang w:val="en-US" w:eastAsia="de-CH"/>
              </w:rPr>
              <w:t>in-house developed tests are addressed, versus for commercial products, responsibility for correct allele detection lies within the manufacturers.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FDBFE0"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B6BF87" w14:textId="77777777" w:rsidR="00EF4BEC" w:rsidRDefault="009E2ACD">
            <w:pPr>
              <w:rPr>
                <w:lang w:eastAsia="de-CH"/>
              </w:rPr>
            </w:pPr>
            <w:r>
              <w:rPr>
                <w:lang w:eastAsia="de-CH"/>
              </w:rPr>
              <w:t xml:space="preserve">comment added </w:t>
            </w:r>
          </w:p>
        </w:tc>
      </w:tr>
      <w:tr w:rsidR="00EF4BEC" w:rsidRPr="007C6931" w14:paraId="5100C445"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BAFE7C"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C1D2EE"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C5E647" w14:textId="77777777" w:rsidR="00EF4BEC" w:rsidRDefault="009E2ACD">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200856"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EC9D36"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85815E2"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4C3CD8" w14:textId="77777777" w:rsidR="00EF4BEC" w:rsidRDefault="009E2ACD">
            <w:pPr>
              <w:rPr>
                <w:lang w:val="en-US" w:eastAsia="de-CH"/>
              </w:rPr>
            </w:pPr>
            <w:r>
              <w:rPr>
                <w:lang w:val="en-US" w:eastAsia="de-CH"/>
              </w:rPr>
              <w:t xml:space="preserve">Each amplification reaction must include controls to detect technical failures (e.g. an internal control such as additional primers or templates that produce a product that can be distinguished from the typing product)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C6F7B9"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1A3219" w14:textId="77777777" w:rsidR="00EF4BEC" w:rsidRDefault="00EF4BEC">
            <w:pPr>
              <w:rPr>
                <w:lang w:val="en-US" w:eastAsia="de-CH"/>
              </w:rPr>
            </w:pPr>
          </w:p>
        </w:tc>
      </w:tr>
      <w:tr w:rsidR="00EF4BEC" w:rsidRPr="007C6931" w14:paraId="4FBC9E0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766715"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5D4634"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5B0DDB" w14:textId="77777777" w:rsidR="00EF4BEC" w:rsidRDefault="009E2ACD">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2F8A02"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CE6DE1"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5A3405"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8A7125" w14:textId="77777777" w:rsidR="00EF4BEC" w:rsidRDefault="009E2ACD">
            <w:pPr>
              <w:rPr>
                <w:lang w:val="en-US" w:eastAsia="de-CH"/>
              </w:rPr>
            </w:pPr>
            <w:r>
              <w:rPr>
                <w:lang w:val="en-US" w:eastAsia="de-CH"/>
              </w:rPr>
              <w:t xml:space="preserve">The laboratory must use the following data in the interpretation phase of the typing: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235D4E"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BF2A0A" w14:textId="77777777" w:rsidR="00EF4BEC" w:rsidRDefault="00EF4BEC">
            <w:pPr>
              <w:rPr>
                <w:lang w:val="en-US" w:eastAsia="de-CH"/>
              </w:rPr>
            </w:pPr>
          </w:p>
        </w:tc>
      </w:tr>
      <w:tr w:rsidR="00EF4BEC" w:rsidRPr="007C6931" w14:paraId="56084BA6"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06FE3C"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540429"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3073DB" w14:textId="77777777" w:rsidR="00EF4BEC" w:rsidRDefault="009E2ACD">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D98608"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F7A2EB"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31EC30"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3EB21D" w14:textId="77777777" w:rsidR="00EF4BEC" w:rsidRDefault="009E2ACD">
            <w:pPr>
              <w:rPr>
                <w:lang w:val="en-US" w:eastAsia="de-CH"/>
              </w:rPr>
            </w:pPr>
            <w:r>
              <w:rPr>
                <w:lang w:val="en-US" w:eastAsia="de-CH"/>
              </w:rPr>
              <w:t xml:space="preserve">Information derived from the validation process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43B50A"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850472" w14:textId="77777777" w:rsidR="00EF4BEC" w:rsidRDefault="00EF4BEC">
            <w:pPr>
              <w:rPr>
                <w:lang w:val="en-US" w:eastAsia="de-CH"/>
              </w:rPr>
            </w:pPr>
          </w:p>
        </w:tc>
      </w:tr>
      <w:tr w:rsidR="00EF4BEC" w:rsidRPr="007C6931" w14:paraId="45B42E90"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4B0F07" w14:textId="77777777" w:rsidR="00EF4BEC" w:rsidRDefault="009E2ACD">
            <w:pPr>
              <w:rPr>
                <w:lang w:eastAsia="de-CH"/>
              </w:rPr>
            </w:pPr>
            <w:r>
              <w:rPr>
                <w:lang w:eastAsia="de-CH"/>
              </w:rPr>
              <w:lastRenderedPageBreak/>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8C2C5A"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8E43FF" w14:textId="77777777" w:rsidR="00EF4BEC" w:rsidRDefault="009E2ACD">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D37C88"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D5D40A8"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8618F0"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7799F6" w14:textId="77777777" w:rsidR="00EF4BEC" w:rsidRDefault="009E2ACD">
            <w:pPr>
              <w:rPr>
                <w:lang w:val="en-US" w:eastAsia="de-CH"/>
              </w:rPr>
            </w:pPr>
            <w:r>
              <w:rPr>
                <w:lang w:val="en-US" w:eastAsia="de-CH"/>
              </w:rPr>
              <w:t xml:space="preserve">Information derived from previous typings with the same lot of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5A45FE"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3BC9A9" w14:textId="77777777" w:rsidR="00EF4BEC" w:rsidRDefault="00EF4BEC">
            <w:pPr>
              <w:rPr>
                <w:lang w:val="en-US" w:eastAsia="de-CH"/>
              </w:rPr>
            </w:pPr>
          </w:p>
        </w:tc>
      </w:tr>
      <w:tr w:rsidR="00EF4BEC" w14:paraId="3606D02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6B1FCF"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B00558"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C9BCD7"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5E3C9A"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47B823"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6FE889"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38B719" w14:textId="77777777" w:rsidR="00EF4BEC" w:rsidRDefault="009E2ACD">
            <w:pPr>
              <w:rPr>
                <w:lang w:eastAsia="de-CH"/>
              </w:rPr>
            </w:pPr>
            <w:r>
              <w:rPr>
                <w:lang w:eastAsia="de-CH"/>
              </w:rPr>
              <w:t>Sanger sequencing</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D50010"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7058AE" w14:textId="77777777" w:rsidR="00EF4BEC" w:rsidRDefault="00EF4BEC">
            <w:pPr>
              <w:rPr>
                <w:lang w:eastAsia="de-CH"/>
              </w:rPr>
            </w:pPr>
          </w:p>
        </w:tc>
      </w:tr>
      <w:tr w:rsidR="00EF4BEC" w14:paraId="22A4937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6BF97A"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4E9596"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CD7449"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F2D15D"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56A326"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BD8B6C"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9A84ED" w14:textId="77777777" w:rsidR="00EF4BEC" w:rsidRDefault="009E2ACD">
            <w:pPr>
              <w:rPr>
                <w:lang w:eastAsia="de-CH"/>
              </w:rPr>
            </w:pPr>
            <w:r>
              <w:rPr>
                <w:lang w:eastAsia="de-CH"/>
              </w:rPr>
              <w:t xml:space="preserve">Sequencing templates: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EA5801"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3F0B63" w14:textId="77777777" w:rsidR="00EF4BEC" w:rsidRDefault="00EF4BEC">
            <w:pPr>
              <w:rPr>
                <w:lang w:eastAsia="de-CH"/>
              </w:rPr>
            </w:pPr>
          </w:p>
        </w:tc>
      </w:tr>
      <w:tr w:rsidR="00EF4BEC" w:rsidRPr="007C6931" w14:paraId="0C36A017"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B9B5B7"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7CE886"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F13B9D"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88D532"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67ACDD"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5F81FC"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0A895F" w14:textId="77777777" w:rsidR="00EF4BEC" w:rsidRDefault="009E2ACD">
            <w:pPr>
              <w:rPr>
                <w:lang w:val="en-US" w:eastAsia="de-CH"/>
              </w:rPr>
            </w:pPr>
            <w:r>
              <w:rPr>
                <w:lang w:val="en-US" w:eastAsia="de-CH"/>
              </w:rPr>
              <w:t xml:space="preserve">Must have sufficient purity, specificity, quantity and quality to provide interpretable sequencing data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44DFC6"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4975BD" w14:textId="77777777" w:rsidR="00EF4BEC" w:rsidRDefault="00EF4BEC">
            <w:pPr>
              <w:rPr>
                <w:lang w:val="en-US" w:eastAsia="de-CH"/>
              </w:rPr>
            </w:pPr>
          </w:p>
        </w:tc>
      </w:tr>
      <w:tr w:rsidR="00EF4BEC" w:rsidRPr="007C6931" w14:paraId="60D9B83C" w14:textId="77777777">
        <w:trPr>
          <w:trHeight w:val="437"/>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A85053"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1E3BF3"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EE8ACD"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4FDD25"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E3CC41"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1F9E19"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00FFAB" w14:textId="77777777" w:rsidR="00EF4BEC" w:rsidRDefault="009E2ACD">
            <w:pPr>
              <w:rPr>
                <w:lang w:val="en-US" w:eastAsia="de-CH"/>
              </w:rPr>
            </w:pPr>
            <w:r>
              <w:rPr>
                <w:lang w:val="en-US" w:eastAsia="de-CH"/>
              </w:rPr>
              <w:t xml:space="preserve">Should be purified after amplification to eliminate the presence of dNTPs, Taq polymerase and amplification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5D341E"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A51314" w14:textId="77777777" w:rsidR="00EF4BEC" w:rsidRDefault="00EF4BEC">
            <w:pPr>
              <w:rPr>
                <w:lang w:val="en-US" w:eastAsia="de-CH"/>
              </w:rPr>
            </w:pPr>
          </w:p>
        </w:tc>
      </w:tr>
      <w:tr w:rsidR="00EF4BEC" w:rsidRPr="007C6931" w14:paraId="1045354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7DCB10"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E3E28E"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772ED7" w14:textId="77777777" w:rsidR="00EF4BEC" w:rsidRDefault="009E2ACD">
            <w:pPr>
              <w:rPr>
                <w:lang w:eastAsia="de-CH"/>
              </w:rPr>
            </w:pPr>
            <w:r>
              <w:rPr>
                <w:lang w:eastAsia="de-CH"/>
              </w:rPr>
              <w:t>10</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4CABFF" w14:textId="77777777" w:rsidR="00EF4BEC" w:rsidRDefault="009E2ACD">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6F30D3"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B0EAAA"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2757B3" w14:textId="77777777" w:rsidR="00EF4BEC" w:rsidRDefault="009E2ACD">
            <w:pPr>
              <w:rPr>
                <w:lang w:val="en-US" w:eastAsia="de-CH"/>
              </w:rPr>
            </w:pPr>
            <w:r>
              <w:rPr>
                <w:lang w:val="en-US" w:eastAsia="de-CH"/>
              </w:rPr>
              <w:t xml:space="preserve">For each run the size of fragments must be documented and the selection must be specified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5C1CA3"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C34BF0" w14:textId="77777777" w:rsidR="00EF4BEC" w:rsidRDefault="00EF4BEC">
            <w:pPr>
              <w:rPr>
                <w:lang w:val="en-US" w:eastAsia="de-CH"/>
              </w:rPr>
            </w:pPr>
          </w:p>
        </w:tc>
      </w:tr>
      <w:tr w:rsidR="00EF4BEC" w14:paraId="37054EC3"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194DF1"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CFE108"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F8B884"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CB53CE" w14:textId="77777777" w:rsidR="00EF4BEC" w:rsidRDefault="009E2ACD">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5AD3FC"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8355B2"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7B5DC3" w14:textId="77777777" w:rsidR="00EF4BEC" w:rsidRDefault="009E2ACD">
            <w:pPr>
              <w:rPr>
                <w:lang w:eastAsia="de-CH"/>
              </w:rPr>
            </w:pPr>
            <w:r>
              <w:rPr>
                <w:lang w:eastAsia="de-CH"/>
              </w:rPr>
              <w:t xml:space="preserve">Sequencing reaction: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C8E259"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A04860" w14:textId="77777777" w:rsidR="00EF4BEC" w:rsidRDefault="00EF4BEC">
            <w:pPr>
              <w:rPr>
                <w:lang w:eastAsia="de-CH"/>
              </w:rPr>
            </w:pPr>
          </w:p>
        </w:tc>
      </w:tr>
      <w:tr w:rsidR="00EF4BEC" w:rsidRPr="007C6931" w14:paraId="5D22F5E8"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AB580B"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5D8999"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745FC3"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8AA9FC" w14:textId="77777777" w:rsidR="00EF4BEC" w:rsidRDefault="009E2ACD">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A802FC"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87609A"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91D2BB" w14:textId="77777777" w:rsidR="00EF4BEC" w:rsidRDefault="009E2ACD">
            <w:pPr>
              <w:rPr>
                <w:lang w:val="en-US" w:eastAsia="de-CH"/>
              </w:rPr>
            </w:pPr>
            <w:r>
              <w:rPr>
                <w:lang w:val="en-US" w:eastAsia="de-CH"/>
              </w:rPr>
              <w:t xml:space="preserve">The specificity of the template in combination with the sequencing primer ([ISBT Blood Group Allele locus (gene) and alleles </w:t>
            </w:r>
            <w:r>
              <w:rPr>
                <w:strike/>
                <w:lang w:val="en-US" w:eastAsia="de-CH"/>
              </w:rPr>
              <w:t>HLA locus and alleles</w:t>
            </w:r>
            <w:r>
              <w:rPr>
                <w:lang w:val="en-US" w:eastAsia="de-CH"/>
              </w:rPr>
              <w:t xml:space="preserve">)] must be defined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4E2127"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5AD179" w14:textId="77777777" w:rsidR="00EF4BEC" w:rsidRDefault="009E2ACD">
            <w:pPr>
              <w:rPr>
                <w:lang w:val="en-US" w:eastAsia="de-CH"/>
              </w:rPr>
            </w:pPr>
            <w:r>
              <w:rPr>
                <w:lang w:val="en-US" w:eastAsia="de-CH"/>
              </w:rPr>
              <w:t>changed IMGT/HLA to ISBT</w:t>
            </w:r>
          </w:p>
        </w:tc>
      </w:tr>
      <w:tr w:rsidR="00EF4BEC" w:rsidRPr="007C6931" w14:paraId="0C284296"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40B527"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7253E9"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09FB12"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F1AAD1" w14:textId="77777777" w:rsidR="00EF4BEC" w:rsidRDefault="009E2ACD">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33067E"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8CDF33"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5B6FAF" w14:textId="77777777" w:rsidR="00EF4BEC" w:rsidRDefault="009E2ACD">
            <w:pPr>
              <w:rPr>
                <w:lang w:val="en-US" w:eastAsia="de-CH"/>
              </w:rPr>
            </w:pPr>
            <w:r>
              <w:rPr>
                <w:lang w:val="en-US" w:eastAsia="de-CH"/>
              </w:rPr>
              <w:t xml:space="preserve">Quantity and quality of templates, sequencing primers and sequencing reagents must be sufficient to provide interpretable primary sequencing data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D86357"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67E77B" w14:textId="77777777" w:rsidR="00EF4BEC" w:rsidRDefault="00EF4BEC">
            <w:pPr>
              <w:rPr>
                <w:lang w:val="en-US" w:eastAsia="de-CH"/>
              </w:rPr>
            </w:pPr>
          </w:p>
        </w:tc>
      </w:tr>
      <w:tr w:rsidR="00EF4BEC" w:rsidRPr="007C6931" w14:paraId="410E9A9F"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8F335A"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B2131C"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93E61F"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F02202" w14:textId="77777777" w:rsidR="00EF4BEC" w:rsidRDefault="009E2ACD">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556C09"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1E6FC9"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B335AD" w14:textId="77777777" w:rsidR="00EF4BEC" w:rsidRDefault="009E2ACD">
            <w:pPr>
              <w:rPr>
                <w:lang w:val="en-US" w:eastAsia="de-CH"/>
              </w:rPr>
            </w:pPr>
            <w:r>
              <w:rPr>
                <w:lang w:val="en-US" w:eastAsia="de-CH"/>
              </w:rPr>
              <w:t xml:space="preserve">The conditions for the sequencing reaction must be documented and appropriate for obtaining reliable primary sequencing data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1F2EE0"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56191F" w14:textId="77777777" w:rsidR="00EF4BEC" w:rsidRDefault="00EF4BEC">
            <w:pPr>
              <w:rPr>
                <w:lang w:val="en-US" w:eastAsia="de-CH"/>
              </w:rPr>
            </w:pPr>
          </w:p>
        </w:tc>
      </w:tr>
      <w:tr w:rsidR="00EF4BEC" w14:paraId="3A15F709"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4E8FDD"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F203C7"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87B1BF"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BADF07"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0AE5F0"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23EC39"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2A1DD9" w14:textId="77777777" w:rsidR="00EF4BEC" w:rsidRDefault="009E2ACD">
            <w:pPr>
              <w:rPr>
                <w:lang w:eastAsia="de-CH"/>
              </w:rPr>
            </w:pPr>
            <w:r>
              <w:rPr>
                <w:lang w:eastAsia="de-CH"/>
              </w:rPr>
              <w:t xml:space="preserve">Nucleotide assignment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C7F131"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7C92BC" w14:textId="77777777" w:rsidR="00EF4BEC" w:rsidRDefault="00EF4BEC">
            <w:pPr>
              <w:rPr>
                <w:lang w:eastAsia="de-CH"/>
              </w:rPr>
            </w:pPr>
          </w:p>
        </w:tc>
      </w:tr>
      <w:tr w:rsidR="00EF4BEC" w:rsidRPr="007C6931" w14:paraId="082C5B27"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B2EBB5"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097DFC"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32F082"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417B67" w14:textId="77777777" w:rsidR="00EF4BEC" w:rsidRDefault="009E2ACD">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27DF88"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B73854"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F8B2C6" w14:textId="77777777" w:rsidR="00EF4BEC" w:rsidRDefault="009E2ACD">
            <w:pPr>
              <w:rPr>
                <w:lang w:val="en-US" w:eastAsia="de-CH"/>
              </w:rPr>
            </w:pPr>
            <w:r>
              <w:rPr>
                <w:lang w:val="en-US" w:eastAsia="de-CH"/>
              </w:rPr>
              <w:t xml:space="preserve">The signal-to-noise ratio must be sufficient to ensure reliable nucleotide assignments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EF41FB"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C301E4" w14:textId="77777777" w:rsidR="00EF4BEC" w:rsidRDefault="00EF4BEC">
            <w:pPr>
              <w:rPr>
                <w:lang w:val="en-US" w:eastAsia="de-CH"/>
              </w:rPr>
            </w:pPr>
          </w:p>
        </w:tc>
      </w:tr>
      <w:tr w:rsidR="00EF4BEC" w14:paraId="464522AE"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B19A0C"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6F7EA6"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5A7A4D"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12A733" w14:textId="77777777" w:rsidR="00EF4BEC" w:rsidRDefault="009E2ACD">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A53774"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4D3495"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E710FE" w14:textId="77777777" w:rsidR="00EF4BEC" w:rsidRDefault="009E2ACD">
            <w:pPr>
              <w:rPr>
                <w:lang w:eastAsia="de-CH"/>
              </w:rPr>
            </w:pPr>
            <w:r>
              <w:rPr>
                <w:lang w:eastAsia="de-CH"/>
              </w:rPr>
              <w:t xml:space="preserve">Allele assignment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83CA72" w14:textId="77777777" w:rsidR="00EF4BEC" w:rsidRDefault="009E2ACD">
            <w:pPr>
              <w:rPr>
                <w:lang w:eastAsia="de-CH"/>
              </w:rPr>
            </w:pPr>
            <w:r>
              <w:rPr>
                <w:lang w:eastAsia="de-CH"/>
              </w:rPr>
              <w:t xml:space="preserve"> [BG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FA6016" w14:textId="77777777" w:rsidR="00EF4BEC" w:rsidRDefault="009E2ACD">
            <w:pPr>
              <w:rPr>
                <w:lang w:eastAsia="de-CH"/>
              </w:rPr>
            </w:pPr>
            <w:r>
              <w:rPr>
                <w:lang w:eastAsia="de-CH"/>
              </w:rPr>
              <w:t>overlap with reporting</w:t>
            </w:r>
          </w:p>
        </w:tc>
      </w:tr>
      <w:tr w:rsidR="00EF4BEC" w:rsidRPr="007C6931" w14:paraId="4F732374"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503C42"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24A204"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685ED3" w14:textId="77777777" w:rsidR="00EF4BEC" w:rsidRDefault="009E2ACD">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0AA9A8" w14:textId="77777777" w:rsidR="00EF4BEC" w:rsidRDefault="009E2ACD">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1B662E"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2BA582"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797246" w14:textId="77777777" w:rsidR="00EF4BEC" w:rsidRDefault="009E2ACD">
            <w:pPr>
              <w:rPr>
                <w:lang w:val="en-US" w:eastAsia="de-CH"/>
              </w:rPr>
            </w:pPr>
            <w:r>
              <w:rPr>
                <w:lang w:val="en-US" w:eastAsia="de-CH"/>
              </w:rPr>
              <w:t xml:space="preserve">Criteria for allele assignment must be established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21BF9F"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C10895" w14:textId="77777777" w:rsidR="00EF4BEC" w:rsidRDefault="009E2ACD">
            <w:pPr>
              <w:rPr>
                <w:lang w:val="en-US" w:eastAsia="de-CH"/>
              </w:rPr>
            </w:pPr>
            <w:r>
              <w:rPr>
                <w:lang w:val="en-US" w:eastAsia="de-CH"/>
              </w:rPr>
              <w:t xml:space="preserve">overlap with reporting </w:t>
            </w:r>
            <w:r>
              <w:rPr>
                <w:lang w:val="en-US" w:eastAsia="de-CH"/>
              </w:rPr>
              <w:br/>
              <w:t>(go to NCBI BLAST</w:t>
            </w:r>
            <w:r>
              <w:rPr>
                <w:lang w:val="en-US" w:eastAsia="de-CH"/>
              </w:rPr>
              <w:br/>
              <w:t>plus check ISBT allele tables)</w:t>
            </w:r>
          </w:p>
        </w:tc>
      </w:tr>
      <w:tr w:rsidR="00EF4BEC" w14:paraId="32FCD74B"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240591" w14:textId="77777777" w:rsidR="00EF4BEC" w:rsidRDefault="009E2ACD">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F638C8" w14:textId="77777777" w:rsidR="00EF4BEC" w:rsidRDefault="009E2ACD">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ED37D5" w14:textId="77777777" w:rsidR="00EF4BEC" w:rsidRDefault="009E2ACD">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83C4DC" w14:textId="77777777" w:rsidR="00EF4BEC" w:rsidRDefault="00EF4BEC">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242DFF"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057610"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8F2944" w14:textId="77777777" w:rsidR="00EF4BEC" w:rsidRDefault="009E2ACD">
            <w:pPr>
              <w:rPr>
                <w:lang w:eastAsia="de-CH"/>
              </w:rPr>
            </w:pPr>
            <w:r>
              <w:rPr>
                <w:lang w:eastAsia="de-CH"/>
              </w:rPr>
              <w:t xml:space="preserve">Other methods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2EED4C"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523D0D" w14:textId="77777777" w:rsidR="00EF4BEC" w:rsidRDefault="00EF4BEC">
            <w:pPr>
              <w:rPr>
                <w:lang w:eastAsia="de-CH"/>
              </w:rPr>
            </w:pPr>
          </w:p>
        </w:tc>
      </w:tr>
      <w:tr w:rsidR="00EF4BEC" w:rsidRPr="007C6931" w14:paraId="43F61C4A"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DC1B3C"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0D8F1C"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37F57E" w14:textId="77777777" w:rsidR="00EF4BEC" w:rsidRDefault="009E2ACD">
            <w:pPr>
              <w:rPr>
                <w:lang w:eastAsia="de-CH"/>
              </w:rPr>
            </w:pPr>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D1D831"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5F751E"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1CC4E8"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BADD48" w14:textId="77777777" w:rsidR="00EF4BEC" w:rsidRDefault="009E2ACD">
            <w:pPr>
              <w:rPr>
                <w:lang w:val="en-US" w:eastAsia="de-CH"/>
              </w:rPr>
            </w:pPr>
            <w:r>
              <w:rPr>
                <w:lang w:val="en-US" w:eastAsia="de-CH"/>
              </w:rPr>
              <w:t>If alternative methods (e.g. SSCP, heteroduplex, DGGE) are used for [Molecular Blood Group</w:t>
            </w:r>
            <w:r>
              <w:rPr>
                <w:strike/>
                <w:lang w:val="en-US" w:eastAsia="de-CH"/>
              </w:rPr>
              <w:t xml:space="preserve"> HLA</w:t>
            </w:r>
            <w:r>
              <w:rPr>
                <w:lang w:val="en-US" w:eastAsia="de-CH"/>
              </w:rPr>
              <w:t xml:space="preserve">] typing, there must be established procedures in place which: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C80DAA" w14:textId="77777777" w:rsidR="00EF4BEC" w:rsidRDefault="009E2ACD">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C10BFF" w14:textId="77777777" w:rsidR="00EF4BEC" w:rsidRDefault="009E2ACD">
            <w:pPr>
              <w:rPr>
                <w:lang w:val="en-US" w:eastAsia="de-CH"/>
              </w:rPr>
            </w:pPr>
            <w:r>
              <w:rPr>
                <w:lang w:val="en-US" w:eastAsia="de-CH"/>
              </w:rPr>
              <w:t>changed IMGT/HLA to ISBT</w:t>
            </w:r>
          </w:p>
        </w:tc>
      </w:tr>
      <w:tr w:rsidR="00EF4BEC" w14:paraId="6E2F81E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A81707"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8840B4"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273F6F" w14:textId="77777777" w:rsidR="00EF4BEC" w:rsidRDefault="009E2ACD">
            <w:pPr>
              <w:rPr>
                <w:lang w:eastAsia="de-CH"/>
              </w:rPr>
            </w:pPr>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B983E1"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0520A2" w14:textId="77777777" w:rsidR="00EF4BEC" w:rsidRDefault="009E2ACD">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C1D526"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1AD4AB" w14:textId="77777777" w:rsidR="00EF4BEC" w:rsidRDefault="009E2ACD">
            <w:pPr>
              <w:rPr>
                <w:lang w:eastAsia="de-CH"/>
              </w:rPr>
            </w:pPr>
            <w:r>
              <w:rPr>
                <w:lang w:eastAsia="de-CH"/>
              </w:rPr>
              <w:t xml:space="preserve">Must be validated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5D70FF" w14:textId="77777777" w:rsidR="00EF4BEC" w:rsidRDefault="00EF4BEC">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C4CE69" w14:textId="77777777" w:rsidR="00EF4BEC" w:rsidRDefault="00EF4BEC">
            <w:pPr>
              <w:rPr>
                <w:lang w:eastAsia="de-CH"/>
              </w:rPr>
            </w:pPr>
          </w:p>
        </w:tc>
      </w:tr>
      <w:tr w:rsidR="00EF4BEC" w:rsidRPr="007C6931" w14:paraId="4CA4DDF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98AE54"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6493C7"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85E2CE" w14:textId="77777777" w:rsidR="00EF4BEC" w:rsidRDefault="009E2ACD">
            <w:pPr>
              <w:rPr>
                <w:lang w:eastAsia="de-CH"/>
              </w:rPr>
            </w:pPr>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5AC470"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2EE117" w14:textId="77777777" w:rsidR="00EF4BEC" w:rsidRDefault="009E2ACD">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7E187B"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7DFA88" w14:textId="77777777" w:rsidR="00EF4BEC" w:rsidRDefault="009E2ACD">
            <w:pPr>
              <w:rPr>
                <w:lang w:val="en-US" w:eastAsia="de-CH"/>
              </w:rPr>
            </w:pPr>
            <w:r>
              <w:rPr>
                <w:lang w:val="en-US" w:eastAsia="de-CH"/>
              </w:rPr>
              <w:t xml:space="preserve">Must include sufficient controls to ensure accurate assignment of types for every sample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00F0B3"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1ECCD5" w14:textId="77777777" w:rsidR="00EF4BEC" w:rsidRDefault="00EF4BEC">
            <w:pPr>
              <w:rPr>
                <w:lang w:val="en-US" w:eastAsia="de-CH"/>
              </w:rPr>
            </w:pPr>
          </w:p>
        </w:tc>
      </w:tr>
      <w:tr w:rsidR="00EF4BEC" w:rsidRPr="007C6931" w14:paraId="166C10C2"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E55893" w14:textId="77777777" w:rsidR="00EF4BEC" w:rsidRDefault="009E2ACD">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83F08B" w14:textId="77777777" w:rsidR="00EF4BEC" w:rsidRDefault="009E2ACD">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AFE920" w14:textId="77777777" w:rsidR="00EF4BEC" w:rsidRDefault="009E2ACD">
            <w:pPr>
              <w:rPr>
                <w:lang w:eastAsia="de-CH"/>
              </w:rPr>
            </w:pPr>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8F484A" w14:textId="77777777" w:rsidR="00EF4BEC" w:rsidRDefault="009E2ACD">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D52CA7" w14:textId="77777777" w:rsidR="00EF4BEC" w:rsidRDefault="009E2ACD">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1EE08E" w14:textId="77777777" w:rsidR="00EF4BEC" w:rsidRDefault="00EF4BEC">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9971EB" w14:textId="77777777" w:rsidR="00EF4BEC" w:rsidRDefault="009E2ACD">
            <w:pPr>
              <w:rPr>
                <w:lang w:val="en-US" w:eastAsia="de-CH"/>
              </w:rPr>
            </w:pPr>
            <w:r>
              <w:rPr>
                <w:lang w:val="en-US" w:eastAsia="de-CH"/>
              </w:rPr>
              <w:t xml:space="preserve">Must comply with all relevant standards from section E </w:t>
            </w:r>
            <w:r>
              <w:rPr>
                <w:b/>
                <w:bCs/>
                <w:lang w:val="en-US" w:eastAsia="de-CH"/>
              </w:rPr>
              <w:t xml:space="preserve">(Nucleic Acid Analysis)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B3FF0A" w14:textId="77777777" w:rsidR="00EF4BEC" w:rsidRDefault="00EF4BEC">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4C0518" w14:textId="77777777" w:rsidR="00EF4BEC" w:rsidRDefault="00EF4BEC">
            <w:pPr>
              <w:rPr>
                <w:lang w:val="en-US" w:eastAsia="de-CH"/>
              </w:rPr>
            </w:pPr>
          </w:p>
        </w:tc>
      </w:tr>
    </w:tbl>
    <w:p w14:paraId="4ACBAE4E" w14:textId="77777777" w:rsidR="00EF4BEC" w:rsidRDefault="00EF4BEC">
      <w:pPr>
        <w:rPr>
          <w:lang w:val="en-US" w:eastAsia="de-CH"/>
        </w:rPr>
        <w:sectPr w:rsidR="00EF4BEC">
          <w:pgSz w:w="11906" w:h="16838"/>
          <w:pgMar w:top="1417" w:right="1417" w:bottom="709" w:left="1417" w:header="708" w:footer="112" w:gutter="0"/>
          <w:cols w:space="708"/>
          <w:docGrid w:linePitch="360"/>
        </w:sectPr>
      </w:pPr>
    </w:p>
    <w:tbl>
      <w:tblPr>
        <w:tblW w:w="9202" w:type="dxa"/>
        <w:tblLayout w:type="fixed"/>
        <w:tblCellMar>
          <w:left w:w="70" w:type="dxa"/>
          <w:right w:w="70" w:type="dxa"/>
        </w:tblCellMar>
        <w:tblLook w:val="04A0" w:firstRow="1" w:lastRow="0" w:firstColumn="1" w:lastColumn="0" w:noHBand="0" w:noVBand="1"/>
      </w:tblPr>
      <w:tblGrid>
        <w:gridCol w:w="424"/>
        <w:gridCol w:w="240"/>
        <w:gridCol w:w="240"/>
        <w:gridCol w:w="240"/>
        <w:gridCol w:w="415"/>
        <w:gridCol w:w="283"/>
        <w:gridCol w:w="7360"/>
      </w:tblGrid>
      <w:tr w:rsidR="00EF4BEC" w:rsidRPr="007C6931" w14:paraId="7EFB9BEC" w14:textId="77777777">
        <w:trPr>
          <w:trHeight w:val="367"/>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2EAD04A" w14:textId="77777777" w:rsidR="00EF4BEC" w:rsidRDefault="009E2ACD">
            <w:pPr>
              <w:rPr>
                <w:lang w:val="en-US" w:eastAsia="de-CH"/>
              </w:rPr>
            </w:pPr>
            <w:r>
              <w:rPr>
                <w:lang w:eastAsia="de-CH"/>
              </w:rPr>
              <w:lastRenderedPageBreak/>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455438"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BC97B3"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149712" w14:textId="77777777" w:rsidR="00EF4BEC" w:rsidRDefault="00EF4BEC">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F44B0E" w14:textId="77777777" w:rsidR="00EF4BEC" w:rsidRDefault="00EF4BEC">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F036CB" w14:textId="77777777" w:rsidR="00EF4BEC" w:rsidRDefault="00EF4BEC">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3D72FA5D" w14:textId="77777777" w:rsidR="00EF4BEC" w:rsidRDefault="009E2ACD">
            <w:pPr>
              <w:rPr>
                <w:lang w:val="en-US" w:eastAsia="de-CH"/>
              </w:rPr>
            </w:pPr>
            <w:r>
              <w:rPr>
                <w:lang w:val="en-US" w:eastAsia="de-CH"/>
              </w:rPr>
              <w:t>P. Processing of molecular data</w:t>
            </w:r>
          </w:p>
        </w:tc>
      </w:tr>
      <w:tr w:rsidR="00EF4BEC" w:rsidRPr="007C6931" w14:paraId="67D3BB8C" w14:textId="77777777">
        <w:trPr>
          <w:trHeight w:val="367"/>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999A48"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C08536"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C34647"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6BED95" w14:textId="77777777" w:rsidR="00EF4BEC" w:rsidRDefault="00EF4BEC">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863429" w14:textId="77777777" w:rsidR="00EF4BEC" w:rsidRDefault="00EF4BEC">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8BEA3A" w14:textId="77777777" w:rsidR="00EF4BEC" w:rsidRDefault="00EF4BEC">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A58B0A" w14:textId="77777777" w:rsidR="00EF4BEC" w:rsidRDefault="009E2ACD">
            <w:pPr>
              <w:rPr>
                <w:b/>
                <w:bCs/>
                <w:lang w:val="en-US" w:eastAsia="de-CH"/>
              </w:rPr>
            </w:pPr>
            <w:r>
              <w:rPr>
                <w:b/>
                <w:bCs/>
                <w:lang w:val="en-US" w:eastAsia="de-CH"/>
              </w:rPr>
              <w:t>Comment</w:t>
            </w:r>
            <w:r>
              <w:rPr>
                <w:b/>
                <w:lang w:val="en-US" w:eastAsia="de-CH"/>
              </w:rPr>
              <w:t>:</w:t>
            </w:r>
            <w:r>
              <w:rPr>
                <w:lang w:val="en-US" w:eastAsia="de-CH"/>
              </w:rPr>
              <w:t xml:space="preserve"> most current versions of the ISBT Blood Group Allele Tables (plus actual version number) are given at: </w:t>
            </w:r>
            <w:r>
              <w:rPr>
                <w:lang w:val="en-US" w:eastAsia="de-CH"/>
              </w:rPr>
              <w:br/>
              <w:t xml:space="preserve">http://www.isbtweb.org/working-parties/red-cell-immunogenetics-and-blood-group-terminology/ </w:t>
            </w:r>
          </w:p>
        </w:tc>
      </w:tr>
      <w:tr w:rsidR="00EF4BEC" w:rsidRPr="007C6931" w14:paraId="2936D2C4"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CEDD8D"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162F15"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190FB1"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7BFC0D"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815737"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FBA050"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41F3E8" w14:textId="77777777" w:rsidR="00EF4BEC" w:rsidRDefault="009E2ACD">
            <w:pPr>
              <w:rPr>
                <w:lang w:val="en-US" w:eastAsia="de-CH"/>
              </w:rPr>
            </w:pPr>
            <w:r>
              <w:rPr>
                <w:lang w:val="en-US" w:eastAsia="de-CH"/>
              </w:rPr>
              <w:t>Molecular Blood Group Typing may start from any appropriate source of molecular raw data, e.g. SNP typing, sequencing and others done on resources such as RNA and DNA</w:t>
            </w:r>
          </w:p>
        </w:tc>
      </w:tr>
      <w:tr w:rsidR="00EF4BEC" w:rsidRPr="007C6931" w14:paraId="42C21874"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40679F"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D3FE00"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C42B88"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C6B89B"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A4CEA1"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97B26E"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A50BC9" w14:textId="77777777" w:rsidR="00EF4BEC" w:rsidRDefault="009E2ACD">
            <w:pPr>
              <w:rPr>
                <w:lang w:val="en-US" w:eastAsia="de-CH"/>
              </w:rPr>
            </w:pPr>
            <w:r>
              <w:rPr>
                <w:lang w:val="en-US" w:eastAsia="de-CH"/>
              </w:rPr>
              <w:t>Raw molecular data must be translated to “haplotype alleles”, commonly described by the term “alleles” within this document</w:t>
            </w:r>
          </w:p>
        </w:tc>
      </w:tr>
      <w:tr w:rsidR="00EF4BEC" w:rsidRPr="007C6931" w14:paraId="36C9099A"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30EC57"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E7830D"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9B3B19"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3722D1"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3FABFA"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B57FFF"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FC1BF2" w14:textId="77777777" w:rsidR="00EF4BEC" w:rsidRDefault="009E2ACD">
            <w:pPr>
              <w:rPr>
                <w:lang w:val="en-US" w:eastAsia="de-CH"/>
              </w:rPr>
            </w:pPr>
            <w:r>
              <w:rPr>
                <w:lang w:val="en-US" w:eastAsia="de-CH"/>
              </w:rPr>
              <w:t>Current versions of the allele names as proposed by the ISBT terminology committee must be used, whenever available</w:t>
            </w:r>
          </w:p>
        </w:tc>
      </w:tr>
      <w:tr w:rsidR="00EF4BEC" w:rsidRPr="007C6931" w14:paraId="429CD135"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8227FE"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452D50"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E84170"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232467"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385E87"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8F5C74"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DA87EA" w14:textId="77777777" w:rsidR="00EF4BEC" w:rsidRDefault="009E2ACD">
            <w:pPr>
              <w:rPr>
                <w:lang w:val="en-US" w:eastAsia="de-CH"/>
              </w:rPr>
            </w:pPr>
            <w:r>
              <w:rPr>
                <w:lang w:val="en-US" w:eastAsia="de-CH"/>
              </w:rPr>
              <w:t>In case of the discovery of new alleles and description of blood group alleles with non-existent ISBT names, &lt;Trivial Names&gt; for alleles must be used</w:t>
            </w:r>
          </w:p>
        </w:tc>
      </w:tr>
      <w:tr w:rsidR="00EF4BEC" w:rsidRPr="007C6931" w14:paraId="6674F0A6"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12B6BF"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F984B9"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655DB0"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C7F06A" w14:textId="77777777" w:rsidR="00EF4BEC" w:rsidRDefault="009E2ACD">
            <w:pPr>
              <w:rPr>
                <w:lang w:eastAsia="de-CH"/>
              </w:rPr>
            </w:pPr>
            <w:r>
              <w:rPr>
                <w:lang w:eastAsia="de-CH"/>
              </w:rPr>
              <w:t>1</w:t>
            </w: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5F1DA7"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014EFC"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D3FDFAF" w14:textId="77777777" w:rsidR="00EF4BEC" w:rsidRDefault="009E2ACD">
            <w:pPr>
              <w:rPr>
                <w:lang w:val="en-US" w:eastAsia="de-CH"/>
              </w:rPr>
            </w:pPr>
            <w:r>
              <w:rPr>
                <w:lang w:val="en-US" w:eastAsia="de-CH"/>
              </w:rPr>
              <w:t xml:space="preserve">Naming of new alleles with Trivial Names should be done in a way to avoid confounding with existent (and potential future) ISBT allele names </w:t>
            </w:r>
          </w:p>
        </w:tc>
      </w:tr>
      <w:tr w:rsidR="00EF4BEC" w:rsidRPr="007C6931" w14:paraId="528CE2FB"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40F35C"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C4EF34"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19957A"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883F43" w14:textId="77777777" w:rsidR="00EF4BEC" w:rsidRDefault="009E2ACD">
            <w:pPr>
              <w:rPr>
                <w:lang w:eastAsia="de-CH"/>
              </w:rPr>
            </w:pPr>
            <w:r>
              <w:rPr>
                <w:lang w:eastAsia="de-CH"/>
              </w:rPr>
              <w:t>2</w:t>
            </w: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EFD44A"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B00AC1"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9948DB" w14:textId="77777777" w:rsidR="00EF4BEC" w:rsidRDefault="009E2ACD">
            <w:pPr>
              <w:rPr>
                <w:lang w:val="en-US" w:eastAsia="de-CH"/>
              </w:rPr>
            </w:pPr>
            <w:r>
              <w:rPr>
                <w:lang w:val="en-US" w:eastAsia="de-CH"/>
              </w:rPr>
              <w:t>There should be written records for each newly discovered allele (with a Trivial Name)</w:t>
            </w:r>
          </w:p>
        </w:tc>
      </w:tr>
      <w:tr w:rsidR="00EF4BEC" w:rsidRPr="007C6931" w14:paraId="486D9B2C" w14:textId="77777777">
        <w:trPr>
          <w:trHeight w:val="675"/>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ECA6D5"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C8DF37"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2836C6"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CA02CD" w14:textId="77777777" w:rsidR="00EF4BEC" w:rsidRDefault="009E2ACD">
            <w:pPr>
              <w:rPr>
                <w:lang w:eastAsia="de-CH"/>
              </w:rPr>
            </w:pPr>
            <w:r>
              <w:rPr>
                <w:lang w:eastAsia="de-CH"/>
              </w:rPr>
              <w:t>3</w:t>
            </w: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DA4725"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E813A8"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46FD3C" w14:textId="77777777" w:rsidR="00EF4BEC" w:rsidRDefault="009E2ACD">
            <w:pPr>
              <w:rPr>
                <w:lang w:val="en-US" w:eastAsia="de-CH"/>
              </w:rPr>
            </w:pPr>
            <w:r>
              <w:rPr>
                <w:lang w:val="en-US" w:eastAsia="de-CH"/>
              </w:rPr>
              <w:t>Newly discovered alleles should be reported in peer-reviewed journals, the obtained sequences submitted to nucleotide databases and the discovery be reported to the respective point persons of the ISBT terminology committee</w:t>
            </w:r>
          </w:p>
        </w:tc>
      </w:tr>
      <w:tr w:rsidR="00EF4BEC" w:rsidRPr="007C6931" w14:paraId="3926B00B"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E6BF8D"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4F5286"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1DB166"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2B8447"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7E52C2"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39DACD"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8BF443" w14:textId="77777777" w:rsidR="00EF4BEC" w:rsidRDefault="009E2ACD">
            <w:pPr>
              <w:rPr>
                <w:lang w:val="en-US" w:eastAsia="de-CH"/>
              </w:rPr>
            </w:pPr>
            <w:r>
              <w:rPr>
                <w:lang w:val="en-US" w:eastAsia="de-CH"/>
              </w:rPr>
              <w:t xml:space="preserve">The two parental alleles must be described as a &lt;Genotype&gt; </w:t>
            </w:r>
          </w:p>
        </w:tc>
      </w:tr>
      <w:tr w:rsidR="00EF4BEC" w:rsidRPr="007C6931" w14:paraId="49C59994"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3C5995"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457CD3"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D2805F"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938E8E"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D0D9D1"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41070F"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B8A603" w14:textId="77777777" w:rsidR="00EF4BEC" w:rsidRDefault="009E2ACD">
            <w:pPr>
              <w:rPr>
                <w:lang w:val="en-US" w:eastAsia="de-CH"/>
              </w:rPr>
            </w:pPr>
            <w:r>
              <w:rPr>
                <w:lang w:val="en-US" w:eastAsia="de-CH"/>
              </w:rPr>
              <w:t>Homozygosity may best be described by naming the respective allele only</w:t>
            </w:r>
          </w:p>
        </w:tc>
      </w:tr>
      <w:tr w:rsidR="00EF4BEC" w:rsidRPr="007C6931" w14:paraId="0642BBB1"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A1B076"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FB75B6"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DF8E99"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6E685D"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A67706"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3106B5"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DB2C64" w14:textId="77777777" w:rsidR="00EF4BEC" w:rsidRDefault="009E2ACD">
            <w:pPr>
              <w:rPr>
                <w:lang w:val="en-US" w:eastAsia="de-CH"/>
              </w:rPr>
            </w:pPr>
            <w:r>
              <w:rPr>
                <w:lang w:val="en-US" w:eastAsia="de-CH"/>
              </w:rPr>
              <w:t xml:space="preserve">Homozygosity for </w:t>
            </w:r>
            <w:r>
              <w:rPr>
                <w:i/>
                <w:iCs/>
                <w:lang w:val="en-US" w:eastAsia="de-CH"/>
              </w:rPr>
              <w:t>RHD</w:t>
            </w:r>
            <w:r>
              <w:rPr>
                <w:lang w:val="en-US" w:eastAsia="de-CH"/>
              </w:rPr>
              <w:t xml:space="preserve"> (and similar genes) may best be inferred by RH box analysis or quantitative methods </w:t>
            </w:r>
          </w:p>
        </w:tc>
      </w:tr>
      <w:tr w:rsidR="00EF4BEC" w:rsidRPr="007C6931" w14:paraId="55FD6C99"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273417"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063871"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AFF19D"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D4CE1B"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F3C08A"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2E3085"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08359D" w14:textId="77777777" w:rsidR="00EF4BEC" w:rsidRDefault="009E2ACD">
            <w:pPr>
              <w:rPr>
                <w:lang w:val="en-US" w:eastAsia="de-CH"/>
              </w:rPr>
            </w:pPr>
            <w:r>
              <w:rPr>
                <w:lang w:val="en-US" w:eastAsia="de-CH"/>
              </w:rPr>
              <w:t xml:space="preserve">Proven homozygosity for </w:t>
            </w:r>
            <w:r>
              <w:rPr>
                <w:i/>
                <w:iCs/>
                <w:lang w:val="en-US" w:eastAsia="de-CH"/>
              </w:rPr>
              <w:t>RHD</w:t>
            </w:r>
            <w:r>
              <w:rPr>
                <w:lang w:val="en-US" w:eastAsia="de-CH"/>
              </w:rPr>
              <w:t xml:space="preserve"> (and similar genes) may be declared naming the respective </w:t>
            </w:r>
            <w:r>
              <w:rPr>
                <w:i/>
                <w:iCs/>
                <w:lang w:val="en-US" w:eastAsia="de-CH"/>
              </w:rPr>
              <w:t>RHD</w:t>
            </w:r>
            <w:r>
              <w:rPr>
                <w:lang w:val="en-US" w:eastAsia="de-CH"/>
              </w:rPr>
              <w:t xml:space="preserve"> alleles twice </w:t>
            </w:r>
          </w:p>
        </w:tc>
      </w:tr>
      <w:tr w:rsidR="00EF4BEC" w:rsidRPr="007C6931" w14:paraId="4AAE1BBA"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3C1BFF"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0AFB1F"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50CD45" w14:textId="77777777" w:rsidR="00EF4BEC" w:rsidRDefault="009E2ACD">
            <w:pPr>
              <w:rPr>
                <w:lang w:eastAsia="de-CH"/>
              </w:rPr>
            </w:pPr>
            <w:r>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DFB765"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8B63BF"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7E9039"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6F9B84" w14:textId="77777777" w:rsidR="00EF4BEC" w:rsidRDefault="009E2ACD">
            <w:pPr>
              <w:rPr>
                <w:lang w:val="en-US" w:eastAsia="de-CH"/>
              </w:rPr>
            </w:pPr>
            <w:r>
              <w:rPr>
                <w:lang w:val="en-US" w:eastAsia="de-CH"/>
              </w:rPr>
              <w:t xml:space="preserve">Untested zygosity determination for </w:t>
            </w:r>
            <w:r>
              <w:rPr>
                <w:i/>
                <w:iCs/>
                <w:lang w:val="en-US" w:eastAsia="de-CH"/>
              </w:rPr>
              <w:t>RHD</w:t>
            </w:r>
            <w:r>
              <w:rPr>
                <w:lang w:val="en-US" w:eastAsia="de-CH"/>
              </w:rPr>
              <w:t xml:space="preserve"> (and similar genes) may be indicated similarly to serology by a dot &lt;RHD/ " "&gt; </w:t>
            </w:r>
          </w:p>
        </w:tc>
      </w:tr>
      <w:tr w:rsidR="00EF4BEC" w:rsidRPr="007C6931" w14:paraId="6A652002"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6A8351"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3C7E9C"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D20BC1" w14:textId="77777777" w:rsidR="00EF4BEC" w:rsidRDefault="009E2ACD">
            <w:pPr>
              <w:rPr>
                <w:lang w:eastAsia="de-CH"/>
              </w:rPr>
            </w:pPr>
            <w:r>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199FDC"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16B653"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5D94A7"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1C7FF2" w14:textId="77777777" w:rsidR="00EF4BEC" w:rsidRDefault="009E2ACD">
            <w:pPr>
              <w:rPr>
                <w:lang w:val="en-US" w:eastAsia="de-CH"/>
              </w:rPr>
            </w:pPr>
            <w:r>
              <w:rPr>
                <w:lang w:val="en-US" w:eastAsia="de-CH"/>
              </w:rPr>
              <w:t xml:space="preserve">If indicated, a third allele name per gene locus may be given in case of duplicated genes on one haplotype (e.g. </w:t>
            </w:r>
            <w:r>
              <w:rPr>
                <w:i/>
                <w:iCs/>
                <w:lang w:val="en-US" w:eastAsia="de-CH"/>
              </w:rPr>
              <w:t>GYP*401</w:t>
            </w:r>
            <w:r>
              <w:rPr>
                <w:lang w:val="en-US" w:eastAsia="de-CH"/>
              </w:rPr>
              <w:t>)</w:t>
            </w:r>
          </w:p>
        </w:tc>
      </w:tr>
      <w:tr w:rsidR="00EF4BEC" w:rsidRPr="007C6931" w14:paraId="750DBB4D"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89D64D" w14:textId="77777777" w:rsidR="00EF4BEC" w:rsidRDefault="009E2ACD">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EF1F30" w14:textId="77777777" w:rsidR="00EF4BEC" w:rsidRDefault="009E2ACD">
            <w:pPr>
              <w:rPr>
                <w:lang w:eastAsia="de-CH"/>
              </w:rPr>
            </w:pPr>
            <w:r>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8C5EC3"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1C2F16"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474D70"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7291A4"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49ECC8" w14:textId="77777777" w:rsidR="00EF4BEC" w:rsidRDefault="009E2ACD">
            <w:pPr>
              <w:rPr>
                <w:lang w:val="en-US" w:eastAsia="de-CH"/>
              </w:rPr>
            </w:pPr>
            <w:r>
              <w:rPr>
                <w:lang w:val="en-US" w:eastAsia="de-CH"/>
              </w:rPr>
              <w:t>There should be written records for each genotype assignment to the Predicted Blood Group Phenotype (“interpretation matrices”), also considering newly discovered alleles (with Trivial Names)</w:t>
            </w:r>
          </w:p>
        </w:tc>
      </w:tr>
      <w:tr w:rsidR="00EF4BEC" w:rsidRPr="007C6931" w14:paraId="161BA259"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D7628C"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EC6C27"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FDDF19"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648E23" w14:textId="77777777" w:rsidR="00EF4BEC" w:rsidRDefault="00EF4BEC">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AD9633" w14:textId="77777777" w:rsidR="00EF4BEC" w:rsidRDefault="00EF4BEC">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68194A" w14:textId="77777777" w:rsidR="00EF4BEC" w:rsidRDefault="00EF4BEC">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539F01F9" w14:textId="77777777" w:rsidR="00EF4BEC" w:rsidRDefault="009E2ACD">
            <w:pPr>
              <w:rPr>
                <w:lang w:val="en-US" w:eastAsia="de-CH"/>
              </w:rPr>
            </w:pPr>
            <w:r>
              <w:rPr>
                <w:lang w:val="en-US" w:eastAsia="de-CH"/>
              </w:rPr>
              <w:t>R. External reporting of results</w:t>
            </w:r>
          </w:p>
        </w:tc>
      </w:tr>
      <w:tr w:rsidR="00EF4BEC" w:rsidRPr="007C6931" w14:paraId="16A528E1"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2FF198" w14:textId="77777777" w:rsidR="00EF4BEC" w:rsidRDefault="009E2ACD">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543613"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AB594A"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8D0C07"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133F75"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766BC9"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11B04C" w14:textId="77777777" w:rsidR="00EF4BEC" w:rsidRDefault="009E2ACD">
            <w:pPr>
              <w:rPr>
                <w:lang w:val="en-US" w:eastAsia="de-CH"/>
              </w:rPr>
            </w:pPr>
            <w:r>
              <w:rPr>
                <w:lang w:val="en-US" w:eastAsia="de-CH"/>
              </w:rPr>
              <w:t>Methods used, e.g. SNP typing, sequencing, and others, and type of material investigated (RNA, DNA), must be declared</w:t>
            </w:r>
          </w:p>
        </w:tc>
      </w:tr>
      <w:tr w:rsidR="00EF4BEC" w:rsidRPr="007C6931" w14:paraId="7CC15764"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1E0E56" w14:textId="77777777" w:rsidR="00EF4BEC" w:rsidRDefault="009E2ACD">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18E7D5"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82DA7A"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045D27"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766B0B"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F588F1"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39380CE" w14:textId="77777777" w:rsidR="00EF4BEC" w:rsidRDefault="009E2ACD">
            <w:pPr>
              <w:rPr>
                <w:lang w:val="en-US" w:eastAsia="de-CH"/>
              </w:rPr>
            </w:pPr>
            <w:r>
              <w:rPr>
                <w:lang w:val="en-US" w:eastAsia="de-CH"/>
              </w:rPr>
              <w:t>When reporting SNP results, genetic positions of polymorphisms tested must be indicated as given by the ISBT terminology</w:t>
            </w:r>
          </w:p>
        </w:tc>
      </w:tr>
      <w:tr w:rsidR="00EF4BEC" w:rsidRPr="007C6931" w14:paraId="39FFAB32"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42A193" w14:textId="77777777" w:rsidR="00EF4BEC" w:rsidRDefault="009E2ACD">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3D3CD3" w14:textId="77777777" w:rsidR="00EF4BEC" w:rsidRDefault="009E2ACD">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533BE0"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2CD651"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26C861"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E1FAE5"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62EBDF" w14:textId="77777777" w:rsidR="00EF4BEC" w:rsidRDefault="009E2ACD">
            <w:pPr>
              <w:rPr>
                <w:lang w:val="en-US" w:eastAsia="de-CH"/>
              </w:rPr>
            </w:pPr>
            <w:r>
              <w:rPr>
                <w:lang w:val="en-US" w:eastAsia="de-CH"/>
              </w:rPr>
              <w:t>Current versions of the allele names as proposed by the ISBT terminology committee must be used, whenever available</w:t>
            </w:r>
          </w:p>
        </w:tc>
      </w:tr>
      <w:tr w:rsidR="00EF4BEC" w:rsidRPr="007C6931" w14:paraId="4A6AB8B7"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576732" w14:textId="77777777" w:rsidR="00EF4BEC" w:rsidRDefault="009E2ACD">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1EAE52" w14:textId="77777777" w:rsidR="00EF4BEC" w:rsidRDefault="009E2ACD">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1272BB"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C83BD6"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AC5AA8"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1EB7AD"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7916C2" w14:textId="77777777" w:rsidR="00EF4BEC" w:rsidRDefault="009E2ACD">
            <w:pPr>
              <w:rPr>
                <w:lang w:val="en-US" w:eastAsia="de-CH"/>
              </w:rPr>
            </w:pPr>
            <w:r>
              <w:rPr>
                <w:lang w:val="en-US" w:eastAsia="de-CH"/>
              </w:rPr>
              <w:t>In case of the discovery of new alleles and description of blood group alleles with non-existent ISBT names, &lt;Trivial Names&gt; for alleles must be used</w:t>
            </w:r>
          </w:p>
        </w:tc>
      </w:tr>
      <w:tr w:rsidR="00EF4BEC" w:rsidRPr="007C6931" w14:paraId="51B747E0"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3D1836" w14:textId="77777777" w:rsidR="00EF4BEC" w:rsidRDefault="009E2ACD">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D6BBF6" w14:textId="77777777" w:rsidR="00EF4BEC" w:rsidRDefault="009E2ACD">
            <w:pPr>
              <w:rPr>
                <w:lang w:eastAsia="de-CH"/>
              </w:rPr>
            </w:pPr>
            <w:r>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F5BF62"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BBE58C"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62089E"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F190A8"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474F3B" w14:textId="77777777" w:rsidR="00EF4BEC" w:rsidRDefault="009E2ACD">
            <w:pPr>
              <w:rPr>
                <w:lang w:val="en-US" w:eastAsia="de-CH"/>
              </w:rPr>
            </w:pPr>
            <w:r>
              <w:rPr>
                <w:lang w:val="en-US" w:eastAsia="de-CH"/>
              </w:rPr>
              <w:t xml:space="preserve">The two parental alleles must be described as a &lt;Genotype&gt; </w:t>
            </w:r>
          </w:p>
        </w:tc>
      </w:tr>
      <w:tr w:rsidR="00EF4BEC" w:rsidRPr="007C6931" w14:paraId="649634E2"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4D341D" w14:textId="77777777" w:rsidR="00EF4BEC" w:rsidRDefault="009E2ACD">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D53146" w14:textId="77777777" w:rsidR="00EF4BEC" w:rsidRDefault="009E2ACD">
            <w:pPr>
              <w:rPr>
                <w:lang w:eastAsia="de-CH"/>
              </w:rPr>
            </w:pPr>
            <w:r>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D02445"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0C3CBE"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82F80D"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72D8F2"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F9AE07" w14:textId="77777777" w:rsidR="00EF4BEC" w:rsidRDefault="009E2ACD">
            <w:pPr>
              <w:rPr>
                <w:lang w:val="en-US" w:eastAsia="de-CH"/>
              </w:rPr>
            </w:pPr>
            <w:r>
              <w:rPr>
                <w:lang w:val="en-US" w:eastAsia="de-CH"/>
              </w:rPr>
              <w:t>Every genotype must be translated into a &lt;Predicted Blood Group Phenotype&gt;</w:t>
            </w:r>
          </w:p>
        </w:tc>
      </w:tr>
      <w:tr w:rsidR="00EF4BEC" w:rsidRPr="007C6931" w14:paraId="5A0CB59B"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77A322" w14:textId="77777777" w:rsidR="00EF4BEC" w:rsidRDefault="009E2ACD">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BA31CF" w14:textId="77777777" w:rsidR="00EF4BEC" w:rsidRDefault="009E2ACD">
            <w:pPr>
              <w:rPr>
                <w:lang w:eastAsia="de-CH"/>
              </w:rPr>
            </w:pPr>
            <w:r>
              <w:rPr>
                <w:lang w:eastAsia="de-CH"/>
              </w:rPr>
              <w:t>6</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159FC1"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9E6284"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362CA8"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5C068B"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73D059" w14:textId="77777777" w:rsidR="00EF4BEC" w:rsidRDefault="009E2ACD">
            <w:pPr>
              <w:rPr>
                <w:lang w:val="en-US" w:eastAsia="de-CH"/>
              </w:rPr>
            </w:pPr>
            <w:r>
              <w:rPr>
                <w:lang w:val="en-US" w:eastAsia="de-CH"/>
              </w:rPr>
              <w:t>All above-mentioned documentations may be commented, especially for rare allele</w:t>
            </w:r>
            <w:r>
              <w:rPr>
                <w:lang w:val="en-US"/>
              </w:rPr>
              <w:t>s</w:t>
            </w:r>
            <w:r>
              <w:rPr>
                <w:lang w:val="en-US" w:eastAsia="de-CH"/>
              </w:rPr>
              <w:t xml:space="preserve"> and uncommon genotype occurrences</w:t>
            </w:r>
          </w:p>
        </w:tc>
      </w:tr>
      <w:tr w:rsidR="00EF4BEC" w:rsidRPr="007C6931" w14:paraId="10F71CFA"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9FDBE4" w14:textId="77777777" w:rsidR="00EF4BEC" w:rsidRDefault="009E2ACD">
            <w:pPr>
              <w:rPr>
                <w:lang w:eastAsia="de-CH"/>
              </w:rPr>
            </w:pPr>
            <w:r>
              <w:rPr>
                <w:lang w:eastAsia="de-CH"/>
              </w:rPr>
              <w:lastRenderedPageBreak/>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C398D6" w14:textId="77777777" w:rsidR="00EF4BEC" w:rsidRDefault="009E2ACD">
            <w:pPr>
              <w:rPr>
                <w:lang w:eastAsia="de-CH"/>
              </w:rPr>
            </w:pPr>
            <w:r>
              <w:rPr>
                <w:lang w:eastAsia="de-CH"/>
              </w:rPr>
              <w:t>7</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CB2FDF"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F847AA"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E233CE"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EA20A7"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F3970F" w14:textId="77777777" w:rsidR="00EF4BEC" w:rsidRDefault="009E2ACD">
            <w:pPr>
              <w:rPr>
                <w:lang w:val="en-US" w:eastAsia="de-CH"/>
              </w:rPr>
            </w:pPr>
            <w:r>
              <w:rPr>
                <w:lang w:val="en-US" w:eastAsia="de-CH"/>
              </w:rPr>
              <w:t>There should be a transfusion recommendation, especially for rare alleles, uncommon genotype occurrences and newly discovered alleles (with Trivial Names)</w:t>
            </w:r>
          </w:p>
        </w:tc>
      </w:tr>
      <w:tr w:rsidR="00EF4BEC" w:rsidRPr="007C6931" w14:paraId="2F2A22D8"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1F667A"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AB575A"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42C314" w14:textId="77777777" w:rsidR="00EF4BEC" w:rsidRDefault="00EF4BEC">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42B6A1" w14:textId="77777777" w:rsidR="00EF4BEC" w:rsidRDefault="00EF4BEC">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64E23B" w14:textId="77777777" w:rsidR="00EF4BEC" w:rsidRDefault="00EF4BEC">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47BD91" w14:textId="77777777" w:rsidR="00EF4BEC" w:rsidRDefault="00EF4BEC">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2C4005C5" w14:textId="77777777" w:rsidR="00EF4BEC" w:rsidRDefault="009E2ACD">
            <w:pPr>
              <w:rPr>
                <w:lang w:val="en-US" w:eastAsia="de-CH"/>
              </w:rPr>
            </w:pPr>
            <w:r>
              <w:rPr>
                <w:lang w:val="en-US" w:eastAsia="de-CH"/>
              </w:rPr>
              <w:t xml:space="preserve">Z. Commonly known BG polymorphism </w:t>
            </w:r>
          </w:p>
        </w:tc>
      </w:tr>
      <w:tr w:rsidR="00EF4BEC" w:rsidRPr="007C6931" w14:paraId="512AE650"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878EDC" w14:textId="77777777" w:rsidR="00EF4BEC" w:rsidRDefault="009E2ACD">
            <w:pPr>
              <w:rPr>
                <w:lang w:eastAsia="de-CH"/>
              </w:rPr>
            </w:pPr>
            <w:r>
              <w:rPr>
                <w:lang w:eastAsia="de-CH"/>
              </w:rPr>
              <w:t>Z</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807852" w14:textId="77777777" w:rsidR="00EF4BEC" w:rsidRDefault="009E2ACD">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94B8EF" w14:textId="77777777" w:rsidR="00EF4BEC" w:rsidRDefault="00EF4BEC">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8765D0" w14:textId="77777777" w:rsidR="00EF4BEC" w:rsidRDefault="00EF4BEC">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59D739" w14:textId="77777777" w:rsidR="00EF4BEC" w:rsidRDefault="00EF4BEC">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A26686" w14:textId="77777777" w:rsidR="00EF4BEC" w:rsidRDefault="00EF4BEC">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43DABB" w14:textId="77777777" w:rsidR="00EF4BEC" w:rsidRDefault="009E2ACD">
            <w:pPr>
              <w:rPr>
                <w:lang w:val="en-US" w:eastAsia="de-CH"/>
              </w:rPr>
            </w:pPr>
            <w:r>
              <w:rPr>
                <w:lang w:val="en-US" w:eastAsia="de-CH"/>
              </w:rPr>
              <w:t>APPENDIX 1: commonly recognised alleles with known BG phenotypes</w:t>
            </w:r>
          </w:p>
        </w:tc>
      </w:tr>
    </w:tbl>
    <w:p w14:paraId="75D2759C" w14:textId="77777777" w:rsidR="00EF4BEC" w:rsidRDefault="00EF4BEC">
      <w:pPr>
        <w:rPr>
          <w:rFonts w:cs="Arial"/>
          <w:lang w:val="en-US"/>
        </w:rPr>
        <w:sectPr w:rsidR="00EF4BEC">
          <w:pgSz w:w="11906" w:h="16838"/>
          <w:pgMar w:top="1418" w:right="1418" w:bottom="1134" w:left="1418" w:header="425" w:footer="170" w:gutter="0"/>
          <w:cols w:space="708"/>
          <w:docGrid w:linePitch="360"/>
        </w:sectPr>
      </w:pPr>
    </w:p>
    <w:p w14:paraId="25F6C6C1" w14:textId="77777777" w:rsidR="00EF4BEC" w:rsidRDefault="009E2ACD">
      <w:pPr>
        <w:rPr>
          <w:rFonts w:cs="Arial"/>
        </w:rPr>
      </w:pPr>
      <w:r>
        <w:rPr>
          <w:rFonts w:cs="Arial"/>
          <w:noProof/>
          <w:lang w:eastAsia="de-CH"/>
        </w:rPr>
        <w:lastRenderedPageBreak/>
        <mc:AlternateContent>
          <mc:Choice Requires="wpg">
            <w:drawing>
              <wp:inline distT="0" distB="0" distL="0" distR="0" wp14:anchorId="771DE5D3" wp14:editId="5106BBD9">
                <wp:extent cx="9071610" cy="5029835"/>
                <wp:effectExtent l="0" t="0" r="0" b="0"/>
                <wp:docPr id="8" name="Bild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pic:cNvPicPr>
                      </pic:nvPicPr>
                      <pic:blipFill>
                        <a:blip r:embed="rId27"/>
                        <a:stretch/>
                      </pic:blipFill>
                      <pic:spPr bwMode="auto">
                        <a:xfrm>
                          <a:off x="0" y="0"/>
                          <a:ext cx="9071610" cy="5029835"/>
                        </a:xfrm>
                        <a:prstGeom prst="rect">
                          <a:avLst/>
                        </a:prstGeom>
                        <a:noFill/>
                      </pic:spPr>
                    </pic:pic>
                  </a:graphicData>
                </a:graphic>
              </wp:inline>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mso-wrap-distance-left:0.0pt;mso-wrap-distance-top:0.0pt;mso-wrap-distance-right:0.0pt;mso-wrap-distance-bottom:0.0pt;width:714.3pt;height:396.0pt;" stroked="false">
                <v:path textboxrect="0,0,0,0"/>
                <v:imagedata r:id="rId28" o:title=""/>
              </v:shape>
            </w:pict>
          </mc:Fallback>
        </mc:AlternateContent>
      </w:r>
      <w:bookmarkEnd w:id="178"/>
      <w:bookmarkEnd w:id="179"/>
    </w:p>
    <w:p w14:paraId="07338EF1" w14:textId="77777777" w:rsidR="00EF4BEC" w:rsidRDefault="00EF4BEC">
      <w:pPr>
        <w:rPr>
          <w:rFonts w:cs="Arial"/>
        </w:rPr>
        <w:sectPr w:rsidR="00EF4BEC">
          <w:pgSz w:w="16838" w:h="11906" w:orient="landscape"/>
          <w:pgMar w:top="1418" w:right="1418" w:bottom="1418" w:left="1134" w:header="425" w:footer="170" w:gutter="0"/>
          <w:cols w:space="708"/>
          <w:docGrid w:linePitch="360"/>
        </w:sectPr>
      </w:pPr>
    </w:p>
    <w:p w14:paraId="5FFF6933" w14:textId="77777777" w:rsidR="00EF4BEC" w:rsidRPr="00583734" w:rsidRDefault="009E2ACD" w:rsidP="007C6931">
      <w:pPr>
        <w:pStyle w:val="berschrift1"/>
        <w:numPr>
          <w:ilvl w:val="0"/>
          <w:numId w:val="0"/>
        </w:numPr>
        <w:ind w:left="432" w:hanging="432"/>
      </w:pPr>
      <w:bookmarkStart w:id="180" w:name="_Toc161749183"/>
      <w:r w:rsidRPr="00583734">
        <w:lastRenderedPageBreak/>
        <w:t>Bibliografia</w:t>
      </w:r>
      <w:bookmarkEnd w:id="180"/>
    </w:p>
    <w:p w14:paraId="4D1A5232" w14:textId="77777777" w:rsidR="00583734" w:rsidRPr="00583734" w:rsidRDefault="00583734" w:rsidP="00583734">
      <w:pPr>
        <w:pStyle w:val="Literaturverzeichnis"/>
        <w:rPr>
          <w:rFonts w:cs="Arial"/>
        </w:rPr>
      </w:pPr>
      <w:r>
        <w:rPr>
          <w:rFonts w:eastAsiaTheme="minorEastAsia"/>
          <w:highlight w:val="yellow"/>
          <w:lang w:val="en-US"/>
        </w:rPr>
        <w:fldChar w:fldCharType="begin"/>
      </w:r>
      <w:r w:rsidRPr="00583734">
        <w:rPr>
          <w:rFonts w:eastAsiaTheme="minorEastAsia"/>
          <w:highlight w:val="yellow"/>
        </w:rPr>
        <w:instrText xml:space="preserve"> ADDIN ZOTERO_BIBL {"uncited":[],"omitted":[],"custom":[]} CSL_BIBLIOGRAPHY </w:instrText>
      </w:r>
      <w:r>
        <w:rPr>
          <w:rFonts w:eastAsiaTheme="minorEastAsia"/>
          <w:highlight w:val="yellow"/>
          <w:lang w:val="en-US"/>
        </w:rPr>
        <w:fldChar w:fldCharType="separate"/>
      </w:r>
      <w:r w:rsidRPr="00583734">
        <w:rPr>
          <w:rFonts w:cs="Arial"/>
        </w:rPr>
        <w:t>[1]</w:t>
      </w:r>
      <w:r w:rsidRPr="00583734">
        <w:rPr>
          <w:rFonts w:cs="Arial"/>
        </w:rPr>
        <w:tab/>
        <w:t>“Verordnung über die Arzneimittel (Arzneimittelverordnung, VAM SR 812.212.21).” [Online]. Available: http://www.fedlex.admin.ch</w:t>
      </w:r>
    </w:p>
    <w:p w14:paraId="05D0259B" w14:textId="77777777" w:rsidR="00583734" w:rsidRPr="00583734" w:rsidRDefault="00583734" w:rsidP="00583734">
      <w:pPr>
        <w:pStyle w:val="Literaturverzeichnis"/>
        <w:rPr>
          <w:rFonts w:cs="Arial"/>
        </w:rPr>
      </w:pPr>
      <w:r w:rsidRPr="00583734">
        <w:rPr>
          <w:rFonts w:cs="Arial"/>
        </w:rPr>
        <w:t>[2]</w:t>
      </w:r>
      <w:r w:rsidRPr="00583734">
        <w:rPr>
          <w:rFonts w:cs="Arial"/>
        </w:rPr>
        <w:tab/>
        <w:t>SULM, “KBMAL Kriterien zum Betreiben von medizinischen Laboratorien.” QUALAB Swiss, Oct. 11, 2016.</w:t>
      </w:r>
    </w:p>
    <w:p w14:paraId="1D3F4BD4" w14:textId="77777777" w:rsidR="00583734" w:rsidRPr="00583734" w:rsidRDefault="00583734" w:rsidP="00583734">
      <w:pPr>
        <w:pStyle w:val="Literaturverzeichnis"/>
        <w:rPr>
          <w:rFonts w:cs="Arial"/>
        </w:rPr>
      </w:pPr>
      <w:r w:rsidRPr="00583734">
        <w:rPr>
          <w:rFonts w:cs="Arial"/>
        </w:rPr>
        <w:t>[3]</w:t>
      </w:r>
      <w:r w:rsidRPr="00583734">
        <w:rPr>
          <w:rFonts w:cs="Arial"/>
        </w:rPr>
        <w:tab/>
        <w:t>Schweizerische Arbeitsgruppe Qualitätssicherung in der Anwendung von Blutprodukten, “Leitfaden für die Qualitätssicherung in der Transfusionspraxis”.</w:t>
      </w:r>
    </w:p>
    <w:p w14:paraId="204CD76A" w14:textId="77777777" w:rsidR="00583734" w:rsidRPr="00583734" w:rsidRDefault="00583734" w:rsidP="00583734">
      <w:pPr>
        <w:pStyle w:val="Literaturverzeichnis"/>
        <w:rPr>
          <w:rFonts w:cs="Arial"/>
          <w:lang w:val="en-US"/>
        </w:rPr>
      </w:pPr>
      <w:r w:rsidRPr="00583734">
        <w:rPr>
          <w:rFonts w:cs="Arial"/>
          <w:lang w:val="en-US"/>
        </w:rPr>
        <w:t>[4]</w:t>
      </w:r>
      <w:r w:rsidRPr="00583734">
        <w:rPr>
          <w:rFonts w:cs="Arial"/>
          <w:lang w:val="en-US"/>
        </w:rPr>
        <w:tab/>
        <w:t xml:space="preserve">Marion E. Reid, Christine Lomas-Francis and Martin L. Olsson, “The Blood Group Antigen Facts Book,” </w:t>
      </w:r>
      <w:r w:rsidRPr="00583734">
        <w:rPr>
          <w:rFonts w:cs="Arial"/>
          <w:i/>
          <w:iCs/>
          <w:lang w:val="en-US"/>
        </w:rPr>
        <w:t>Acad. Press</w:t>
      </w:r>
      <w:r w:rsidRPr="00583734">
        <w:rPr>
          <w:rFonts w:cs="Arial"/>
          <w:lang w:val="en-US"/>
        </w:rPr>
        <w:t>, 2012.</w:t>
      </w:r>
    </w:p>
    <w:p w14:paraId="3EF0B75A" w14:textId="77777777" w:rsidR="00583734" w:rsidRPr="00583734" w:rsidRDefault="00583734" w:rsidP="00583734">
      <w:pPr>
        <w:pStyle w:val="Literaturverzeichnis"/>
        <w:rPr>
          <w:rFonts w:cs="Arial"/>
          <w:lang w:val="en-US"/>
        </w:rPr>
      </w:pPr>
      <w:r w:rsidRPr="00583734">
        <w:rPr>
          <w:rFonts w:cs="Arial"/>
          <w:lang w:val="en-US"/>
        </w:rPr>
        <w:t>[5]</w:t>
      </w:r>
      <w:r w:rsidRPr="00583734">
        <w:rPr>
          <w:rFonts w:cs="Arial"/>
          <w:lang w:val="en-US"/>
        </w:rPr>
        <w:tab/>
        <w:t>“International Society of Blood Transfusion (ISBT)”, [Online]. Available: https://www.isbtweb.org/</w:t>
      </w:r>
    </w:p>
    <w:p w14:paraId="33B6DA3A" w14:textId="77777777" w:rsidR="00583734" w:rsidRPr="00583734" w:rsidRDefault="00583734" w:rsidP="00583734">
      <w:pPr>
        <w:pStyle w:val="Literaturverzeichnis"/>
        <w:rPr>
          <w:rFonts w:cs="Arial"/>
        </w:rPr>
      </w:pPr>
      <w:r w:rsidRPr="00583734">
        <w:rPr>
          <w:rFonts w:cs="Arial"/>
        </w:rPr>
        <w:t>[6]</w:t>
      </w:r>
      <w:r w:rsidRPr="00583734">
        <w:rPr>
          <w:rFonts w:cs="Arial"/>
        </w:rPr>
        <w:tab/>
        <w:t>Swissmedic, “Leitlinien Inspektionen von Blutlagern,” Jan. 2020.</w:t>
      </w:r>
    </w:p>
    <w:p w14:paraId="08DEB771" w14:textId="77777777" w:rsidR="00583734" w:rsidRPr="00583734" w:rsidRDefault="00583734" w:rsidP="00583734">
      <w:pPr>
        <w:pStyle w:val="Literaturverzeichnis"/>
        <w:rPr>
          <w:rFonts w:cs="Arial"/>
        </w:rPr>
      </w:pPr>
      <w:r w:rsidRPr="00583734">
        <w:rPr>
          <w:rFonts w:cs="Arial"/>
        </w:rPr>
        <w:t>[7]</w:t>
      </w:r>
      <w:r w:rsidRPr="00583734">
        <w:rPr>
          <w:rFonts w:cs="Arial"/>
        </w:rPr>
        <w:tab/>
        <w:t xml:space="preserve">Der Schweizerische Bundesrat, </w:t>
      </w:r>
      <w:r w:rsidRPr="00583734">
        <w:rPr>
          <w:rFonts w:cs="Arial"/>
          <w:i/>
          <w:iCs/>
        </w:rPr>
        <w:t>Verordnung über die Bewilligungen im Arzneimittelbereich</w:t>
      </w:r>
      <w:r w:rsidRPr="00583734">
        <w:rPr>
          <w:rFonts w:cs="Arial"/>
        </w:rPr>
        <w:t>. 2019, p. 40.</w:t>
      </w:r>
    </w:p>
    <w:p w14:paraId="633031C1" w14:textId="77777777" w:rsidR="00583734" w:rsidRPr="00583734" w:rsidRDefault="00583734" w:rsidP="00583734">
      <w:pPr>
        <w:pStyle w:val="Literaturverzeichnis"/>
        <w:rPr>
          <w:rFonts w:cs="Arial"/>
        </w:rPr>
      </w:pPr>
      <w:r w:rsidRPr="00583734">
        <w:rPr>
          <w:rFonts w:cs="Arial"/>
        </w:rPr>
        <w:t>[8]</w:t>
      </w:r>
      <w:r w:rsidRPr="00583734">
        <w:rPr>
          <w:rFonts w:cs="Arial"/>
        </w:rPr>
        <w:tab/>
        <w:t>“Bundesgesetz über Arzneimittel und Medizinprodukte (Heilmittelgesetz, HMG SR 812.21).” [Online]. Available: http://www.fedlex.admin.ch</w:t>
      </w:r>
    </w:p>
    <w:p w14:paraId="4AF1B2CC" w14:textId="77777777" w:rsidR="00583734" w:rsidRPr="00583734" w:rsidRDefault="00583734" w:rsidP="00583734">
      <w:pPr>
        <w:pStyle w:val="Literaturverzeichnis"/>
        <w:rPr>
          <w:rFonts w:cs="Arial"/>
          <w:lang w:val="en-US"/>
        </w:rPr>
      </w:pPr>
      <w:r w:rsidRPr="00583734">
        <w:rPr>
          <w:rFonts w:cs="Arial"/>
        </w:rPr>
        <w:t>[9]</w:t>
      </w:r>
      <w:r w:rsidRPr="00583734">
        <w:rPr>
          <w:rFonts w:cs="Arial"/>
        </w:rPr>
        <w:tab/>
        <w:t xml:space="preserve">Milkins C, Berryman J, Cantwel C et al., “Guidelines for pre-transfusion compatibility procedures in blood transfusion laboratories,” </w:t>
      </w:r>
      <w:r w:rsidRPr="00583734">
        <w:rPr>
          <w:rFonts w:cs="Arial"/>
          <w:i/>
          <w:iCs/>
        </w:rPr>
        <w:t xml:space="preserve">Br. </w:t>
      </w:r>
      <w:r w:rsidRPr="00583734">
        <w:rPr>
          <w:rFonts w:cs="Arial"/>
          <w:i/>
          <w:iCs/>
          <w:lang w:val="en-US"/>
        </w:rPr>
        <w:t>Comm. Stand. Haematol.</w:t>
      </w:r>
      <w:r w:rsidRPr="00583734">
        <w:rPr>
          <w:rFonts w:cs="Arial"/>
          <w:lang w:val="en-US"/>
        </w:rPr>
        <w:t>, p. 23:3-35, Apr. 2013.</w:t>
      </w:r>
    </w:p>
    <w:p w14:paraId="3565155A" w14:textId="77777777" w:rsidR="00583734" w:rsidRPr="00583734" w:rsidRDefault="00583734" w:rsidP="00583734">
      <w:pPr>
        <w:pStyle w:val="Literaturverzeichnis"/>
        <w:rPr>
          <w:rFonts w:cs="Arial"/>
          <w:lang w:val="en-US"/>
        </w:rPr>
      </w:pPr>
      <w:r w:rsidRPr="00583734">
        <w:rPr>
          <w:rFonts w:cs="Arial"/>
          <w:lang w:val="en-US"/>
        </w:rPr>
        <w:t>[10]</w:t>
      </w:r>
      <w:r w:rsidRPr="00583734">
        <w:rPr>
          <w:rFonts w:cs="Arial"/>
          <w:lang w:val="en-US"/>
        </w:rPr>
        <w:tab/>
        <w:t xml:space="preserve">EDQM, </w:t>
      </w:r>
      <w:r w:rsidRPr="00583734">
        <w:rPr>
          <w:rFonts w:cs="Arial"/>
          <w:i/>
          <w:iCs/>
          <w:lang w:val="en-US"/>
        </w:rPr>
        <w:t>Guide to the preparation, use and quality assurance of blood components</w:t>
      </w:r>
      <w:r w:rsidRPr="00583734">
        <w:rPr>
          <w:rFonts w:cs="Arial"/>
          <w:lang w:val="en-US"/>
        </w:rPr>
        <w:t>, 19th ed. 2017. Accessed: Jul. 19, 2017. [Online]. Available: http://onlinelibrary.wiley.com/doi/10.1111/j.0958-7578.2004.00513.x/full</w:t>
      </w:r>
    </w:p>
    <w:p w14:paraId="01F0DDFD" w14:textId="77777777" w:rsidR="00583734" w:rsidRPr="00583734" w:rsidRDefault="00583734" w:rsidP="00583734">
      <w:pPr>
        <w:pStyle w:val="Literaturverzeichnis"/>
        <w:rPr>
          <w:rFonts w:cs="Arial"/>
          <w:lang w:val="en-US"/>
        </w:rPr>
      </w:pPr>
      <w:r w:rsidRPr="00583734">
        <w:rPr>
          <w:rFonts w:cs="Arial"/>
        </w:rPr>
        <w:t>[11]</w:t>
      </w:r>
      <w:r w:rsidRPr="00583734">
        <w:rPr>
          <w:rFonts w:cs="Arial"/>
        </w:rPr>
        <w:tab/>
        <w:t xml:space="preserve">QUALAB Swiss, “QUALAB Schweizerischer Verein für Qualitätssicherung im mediznischen Laboratorium.” </w:t>
      </w:r>
      <w:r w:rsidRPr="00583734">
        <w:rPr>
          <w:rFonts w:cs="Arial"/>
          <w:lang w:val="en-US"/>
        </w:rPr>
        <w:t>Mar. 12, 2020. [Online]. Available: https://www.qualab.swiss/QUALAB_d.htm</w:t>
      </w:r>
    </w:p>
    <w:p w14:paraId="1080E08B" w14:textId="77777777" w:rsidR="00583734" w:rsidRPr="00583734" w:rsidRDefault="00583734" w:rsidP="00583734">
      <w:pPr>
        <w:pStyle w:val="Literaturverzeichnis"/>
        <w:rPr>
          <w:rFonts w:cs="Arial"/>
          <w:lang w:val="en-US"/>
        </w:rPr>
      </w:pPr>
      <w:r w:rsidRPr="00583734">
        <w:rPr>
          <w:rFonts w:cs="Arial"/>
          <w:lang w:val="en-US"/>
        </w:rPr>
        <w:t>[12]</w:t>
      </w:r>
      <w:r w:rsidRPr="00583734">
        <w:rPr>
          <w:rFonts w:cs="Arial"/>
          <w:lang w:val="en-US"/>
        </w:rPr>
        <w:tab/>
        <w:t xml:space="preserve">White J, “Pre-transfusion testing,” </w:t>
      </w:r>
      <w:r w:rsidRPr="00583734">
        <w:rPr>
          <w:rFonts w:cs="Arial"/>
          <w:i/>
          <w:iCs/>
          <w:lang w:val="en-US"/>
        </w:rPr>
        <w:t>Vox Sang.</w:t>
      </w:r>
      <w:r w:rsidRPr="00583734">
        <w:rPr>
          <w:rFonts w:cs="Arial"/>
          <w:lang w:val="en-US"/>
        </w:rPr>
        <w:t>, 2009.</w:t>
      </w:r>
    </w:p>
    <w:p w14:paraId="3B32FFBA" w14:textId="77777777" w:rsidR="00583734" w:rsidRPr="00583734" w:rsidRDefault="00583734" w:rsidP="00583734">
      <w:pPr>
        <w:pStyle w:val="Literaturverzeichnis"/>
        <w:rPr>
          <w:rFonts w:cs="Arial"/>
          <w:lang w:val="en-US"/>
        </w:rPr>
      </w:pPr>
      <w:r w:rsidRPr="00583734">
        <w:rPr>
          <w:rFonts w:cs="Arial"/>
          <w:lang w:val="en-US"/>
        </w:rPr>
        <w:t>[13]</w:t>
      </w:r>
      <w:r w:rsidRPr="00583734">
        <w:rPr>
          <w:rFonts w:cs="Arial"/>
          <w:lang w:val="en-US"/>
        </w:rPr>
        <w:tab/>
        <w:t xml:space="preserve">White J, Qureshi H, Massey E, Needs M, Byrne G, Daniels G, Allard S, “Guidelines for blood grouping and antibody testing in pregnancy. British Committee for Standards in Haematology.,” </w:t>
      </w:r>
      <w:r w:rsidRPr="00583734">
        <w:rPr>
          <w:rFonts w:cs="Arial"/>
          <w:i/>
          <w:iCs/>
          <w:lang w:val="en-US"/>
        </w:rPr>
        <w:t>Transfus Med 2604</w:t>
      </w:r>
      <w:r w:rsidRPr="00583734">
        <w:rPr>
          <w:rFonts w:cs="Arial"/>
          <w:lang w:val="en-US"/>
        </w:rPr>
        <w:t>, pp. 246–63, Aug. 2016.</w:t>
      </w:r>
    </w:p>
    <w:p w14:paraId="2E895B23" w14:textId="77777777" w:rsidR="00583734" w:rsidRPr="00583734" w:rsidRDefault="00583734" w:rsidP="00583734">
      <w:pPr>
        <w:pStyle w:val="Literaturverzeichnis"/>
        <w:rPr>
          <w:rFonts w:cs="Arial"/>
          <w:lang w:val="fr-CH"/>
        </w:rPr>
      </w:pPr>
      <w:r w:rsidRPr="00583734">
        <w:rPr>
          <w:rFonts w:cs="Arial"/>
          <w:lang w:val="en-US"/>
        </w:rPr>
        <w:t>[14]</w:t>
      </w:r>
      <w:r w:rsidRPr="00583734">
        <w:rPr>
          <w:rFonts w:cs="Arial"/>
          <w:lang w:val="en-US"/>
        </w:rPr>
        <w:tab/>
        <w:t xml:space="preserve">AABB American Association of Blood Bank, “Technichal Manual 2023 (21st edition),” </w:t>
      </w:r>
      <w:r w:rsidRPr="00583734">
        <w:rPr>
          <w:rFonts w:cs="Arial"/>
          <w:i/>
          <w:iCs/>
          <w:lang w:val="en-US"/>
        </w:rPr>
        <w:t>AABB</w:t>
      </w:r>
      <w:r w:rsidRPr="00583734">
        <w:rPr>
          <w:rFonts w:cs="Arial"/>
          <w:lang w:val="en-US"/>
        </w:rPr>
        <w:t xml:space="preserve">, 2023, [Online]. </w:t>
      </w:r>
      <w:r w:rsidRPr="00583734">
        <w:rPr>
          <w:rFonts w:cs="Arial"/>
          <w:lang w:val="fr-CH"/>
        </w:rPr>
        <w:t>Available: https://www.aabb.org/aabb-store/product/technical-manual-21st-edition---print-16919010</w:t>
      </w:r>
    </w:p>
    <w:p w14:paraId="667A1C03" w14:textId="77777777" w:rsidR="00583734" w:rsidRPr="00583734" w:rsidRDefault="00583734" w:rsidP="00583734">
      <w:pPr>
        <w:pStyle w:val="Literaturverzeichnis"/>
        <w:rPr>
          <w:rFonts w:cs="Arial"/>
          <w:lang w:val="en-US"/>
        </w:rPr>
      </w:pPr>
      <w:r w:rsidRPr="00583734">
        <w:rPr>
          <w:rFonts w:cs="Arial"/>
          <w:lang w:val="en-US"/>
        </w:rPr>
        <w:t>[15]</w:t>
      </w:r>
      <w:r w:rsidRPr="00583734">
        <w:rPr>
          <w:rFonts w:cs="Arial"/>
          <w:lang w:val="en-US"/>
        </w:rPr>
        <w:tab/>
        <w:t xml:space="preserve">Flegel W A, “Experience with RHD*weak D type 4.0 in the USA,” </w:t>
      </w:r>
      <w:r w:rsidRPr="00583734">
        <w:rPr>
          <w:rFonts w:cs="Arial"/>
          <w:i/>
          <w:iCs/>
          <w:lang w:val="en-US"/>
        </w:rPr>
        <w:t>Transfusion (Paris)</w:t>
      </w:r>
      <w:r w:rsidRPr="00583734">
        <w:rPr>
          <w:rFonts w:cs="Arial"/>
          <w:lang w:val="en-US"/>
        </w:rPr>
        <w:t>, p. 60(4):855-859, Mar. 2020, doi: doi: 10.1111/trf.15741.</w:t>
      </w:r>
    </w:p>
    <w:p w14:paraId="7591982C" w14:textId="77777777" w:rsidR="00583734" w:rsidRPr="00583734" w:rsidRDefault="00583734" w:rsidP="00583734">
      <w:pPr>
        <w:pStyle w:val="Literaturverzeichnis"/>
        <w:rPr>
          <w:rFonts w:cs="Arial"/>
          <w:lang w:val="en-US"/>
        </w:rPr>
      </w:pPr>
      <w:r w:rsidRPr="00583734">
        <w:rPr>
          <w:rFonts w:cs="Arial"/>
          <w:lang w:val="en-US"/>
        </w:rPr>
        <w:t>[16]</w:t>
      </w:r>
      <w:r w:rsidRPr="00583734">
        <w:rPr>
          <w:rFonts w:cs="Arial"/>
          <w:lang w:val="en-US"/>
        </w:rPr>
        <w:tab/>
        <w:t xml:space="preserve">Willy A Flegel, Gregory A Denomme, John T Queenan, Susan T Johnson, Margaret A Keller, Connie M Westhoff, Louis M Katz, Meghan Delaney, Ralph R Vassallo, Clayton D Simon, S Gerald Sandler, “It’s time to phase out ‘serologic weak D phenotype’ and resolve D types with RHD genotyping including weak D type 4,” </w:t>
      </w:r>
      <w:r w:rsidRPr="00583734">
        <w:rPr>
          <w:rFonts w:cs="Arial"/>
          <w:i/>
          <w:iCs/>
          <w:lang w:val="en-US"/>
        </w:rPr>
        <w:t>Transfusion (Paris)</w:t>
      </w:r>
      <w:r w:rsidRPr="00583734">
        <w:rPr>
          <w:rFonts w:cs="Arial"/>
          <w:lang w:val="en-US"/>
        </w:rPr>
        <w:t>, vol. 60(4), pp. 855–859, Mar. 2020, doi: 10.1111.</w:t>
      </w:r>
    </w:p>
    <w:p w14:paraId="6D87BE34" w14:textId="77777777" w:rsidR="00583734" w:rsidRPr="00583734" w:rsidRDefault="00583734" w:rsidP="00583734">
      <w:pPr>
        <w:pStyle w:val="Literaturverzeichnis"/>
        <w:rPr>
          <w:rFonts w:cs="Arial"/>
          <w:lang w:val="en-US"/>
        </w:rPr>
      </w:pPr>
      <w:r w:rsidRPr="00583734">
        <w:rPr>
          <w:rFonts w:cs="Arial"/>
        </w:rPr>
        <w:t>[17]</w:t>
      </w:r>
      <w:r w:rsidRPr="00583734">
        <w:rPr>
          <w:rFonts w:cs="Arial"/>
        </w:rPr>
        <w:tab/>
        <w:t xml:space="preserve">M. Hodel, S. Lejon Crottet, L. Raio, R. Zimmermann, O. Lapaire, G. Canellini, C. Henny, C. Niederhauser, S. Waldvogel, S. Fontana., “Empfehlungen zur Anti-D-Immunglobulin-Gabe in der Schwangerschaft (= Anti-D-Prophylaxe),” </w:t>
      </w:r>
      <w:r w:rsidRPr="00583734">
        <w:rPr>
          <w:rFonts w:cs="Arial"/>
          <w:i/>
          <w:iCs/>
        </w:rPr>
        <w:t xml:space="preserve">Expert. </w:t>
      </w:r>
      <w:r w:rsidRPr="00583734">
        <w:rPr>
          <w:rFonts w:cs="Arial"/>
          <w:i/>
          <w:iCs/>
          <w:lang w:val="en-US"/>
        </w:rPr>
        <w:t>Nr 68</w:t>
      </w:r>
      <w:r w:rsidRPr="00583734">
        <w:rPr>
          <w:rFonts w:cs="Arial"/>
          <w:lang w:val="en-US"/>
        </w:rPr>
        <w:t>.</w:t>
      </w:r>
    </w:p>
    <w:p w14:paraId="0B98B23A" w14:textId="77777777" w:rsidR="00583734" w:rsidRPr="00583734" w:rsidRDefault="00583734" w:rsidP="00583734">
      <w:pPr>
        <w:pStyle w:val="Literaturverzeichnis"/>
        <w:rPr>
          <w:rFonts w:cs="Arial"/>
          <w:lang w:val="en-US"/>
        </w:rPr>
      </w:pPr>
      <w:r w:rsidRPr="00583734">
        <w:rPr>
          <w:rFonts w:cs="Arial"/>
          <w:lang w:val="en-US"/>
        </w:rPr>
        <w:t>[18]</w:t>
      </w:r>
      <w:r w:rsidRPr="00583734">
        <w:rPr>
          <w:rFonts w:cs="Arial"/>
          <w:lang w:val="en-US"/>
        </w:rPr>
        <w:tab/>
        <w:t xml:space="preserve">Helen V New, Jennifer Berryman, Paula H B Bolton-Maggs, Carol Cantwell, Elizabeth A Chalmers, Tony Davies, Ruth Gottstein, Andrea Kelleher, Sailesh Kumar, Sarah L Morley, Simon J Stanworth, “Guidelines on transfusion for fetuses, neonates and older children. Addendum  2020,” </w:t>
      </w:r>
      <w:r w:rsidRPr="00583734">
        <w:rPr>
          <w:rFonts w:cs="Arial"/>
          <w:i/>
          <w:iCs/>
          <w:lang w:val="en-US"/>
        </w:rPr>
        <w:t>Br. Comm. Stand. Haematol. Br J Haematol</w:t>
      </w:r>
      <w:r w:rsidRPr="00583734">
        <w:rPr>
          <w:rFonts w:cs="Arial"/>
          <w:lang w:val="en-US"/>
        </w:rPr>
        <w:t>, p. 175:784-828, 2016.</w:t>
      </w:r>
    </w:p>
    <w:p w14:paraId="7BFA0CBF" w14:textId="77777777" w:rsidR="00583734" w:rsidRPr="00583734" w:rsidRDefault="00583734" w:rsidP="00583734">
      <w:pPr>
        <w:pStyle w:val="Literaturverzeichnis"/>
        <w:rPr>
          <w:rFonts w:cs="Arial"/>
          <w:lang w:val="en-US"/>
        </w:rPr>
      </w:pPr>
      <w:r w:rsidRPr="00583734">
        <w:rPr>
          <w:rFonts w:cs="Arial"/>
          <w:lang w:val="en-US"/>
        </w:rPr>
        <w:t>[19]</w:t>
      </w:r>
      <w:r w:rsidRPr="00583734">
        <w:rPr>
          <w:rFonts w:cs="Arial"/>
          <w:lang w:val="en-US"/>
        </w:rPr>
        <w:tab/>
        <w:t xml:space="preserve">Helen V New, Simon J Stanworth, Ruth Gottstein, Carol Cantwell, Jennifer Berryman, Elizabeth A Chalmers, Paula H B Bolton-Maggs; BSH Guidelines Transfusion Task Force, “British Society for Haematology Guidelines on transfusion for fetuses, neonates and older children,” </w:t>
      </w:r>
      <w:r w:rsidRPr="00583734">
        <w:rPr>
          <w:rFonts w:cs="Arial"/>
          <w:i/>
          <w:iCs/>
          <w:lang w:val="en-US"/>
        </w:rPr>
        <w:t>Br J Haematol 2016</w:t>
      </w:r>
      <w:r w:rsidRPr="00583734">
        <w:rPr>
          <w:rFonts w:cs="Arial"/>
          <w:lang w:val="en-US"/>
        </w:rPr>
        <w:t>, p. 175:784-828, 2016.</w:t>
      </w:r>
    </w:p>
    <w:p w14:paraId="42C7E5A3" w14:textId="77777777" w:rsidR="00583734" w:rsidRPr="00583734" w:rsidRDefault="00583734" w:rsidP="00583734">
      <w:pPr>
        <w:pStyle w:val="Literaturverzeichnis"/>
        <w:rPr>
          <w:rFonts w:cs="Arial"/>
          <w:lang w:val="fr-CH"/>
        </w:rPr>
      </w:pPr>
      <w:r w:rsidRPr="00583734">
        <w:rPr>
          <w:rFonts w:cs="Arial"/>
          <w:lang w:val="fr-CH"/>
        </w:rPr>
        <w:t>[20]</w:t>
      </w:r>
      <w:r w:rsidRPr="00583734">
        <w:rPr>
          <w:rFonts w:cs="Arial"/>
          <w:lang w:val="fr-CH"/>
        </w:rPr>
        <w:tab/>
        <w:t>Andréanne Villeneuve, Valérie Arsenault, Jacques Lacroix, Marisa, “Neonatal red blood cell transfusion”.</w:t>
      </w:r>
    </w:p>
    <w:p w14:paraId="09C16793" w14:textId="77777777" w:rsidR="00583734" w:rsidRPr="00583734" w:rsidRDefault="00583734" w:rsidP="00583734">
      <w:pPr>
        <w:pStyle w:val="Literaturverzeichnis"/>
        <w:rPr>
          <w:rFonts w:cs="Arial"/>
          <w:lang w:val="en-US"/>
        </w:rPr>
      </w:pPr>
      <w:r w:rsidRPr="00583734">
        <w:rPr>
          <w:rFonts w:cs="Arial"/>
          <w:lang w:val="en-US"/>
        </w:rPr>
        <w:t>[21]</w:t>
      </w:r>
      <w:r w:rsidRPr="00583734">
        <w:rPr>
          <w:rFonts w:cs="Arial"/>
          <w:lang w:val="en-US"/>
        </w:rPr>
        <w:tab/>
        <w:t xml:space="preserve">“Transfusion in neonates and older children: Principles and updates.,” </w:t>
      </w:r>
      <w:r w:rsidRPr="00583734">
        <w:rPr>
          <w:rFonts w:cs="Arial"/>
          <w:i/>
          <w:iCs/>
          <w:lang w:val="en-US"/>
        </w:rPr>
        <w:t>Transfus Clin Biol 2019</w:t>
      </w:r>
      <w:r w:rsidRPr="00583734">
        <w:rPr>
          <w:rFonts w:cs="Arial"/>
          <w:lang w:val="en-US"/>
        </w:rPr>
        <w:t>, p. 26:195-196, 2019.</w:t>
      </w:r>
    </w:p>
    <w:p w14:paraId="5BAF1F35" w14:textId="77777777" w:rsidR="00583734" w:rsidRPr="00583734" w:rsidRDefault="00583734" w:rsidP="00583734">
      <w:pPr>
        <w:pStyle w:val="Literaturverzeichnis"/>
        <w:rPr>
          <w:rFonts w:cs="Arial"/>
          <w:lang w:val="en-US"/>
        </w:rPr>
      </w:pPr>
      <w:r w:rsidRPr="00583734">
        <w:rPr>
          <w:rFonts w:cs="Arial"/>
          <w:lang w:val="en-US"/>
        </w:rPr>
        <w:t>[22]</w:t>
      </w:r>
      <w:r w:rsidRPr="00583734">
        <w:rPr>
          <w:rFonts w:cs="Arial"/>
          <w:lang w:val="en-US"/>
        </w:rPr>
        <w:tab/>
        <w:t xml:space="preserve">New HV, Stanworth SJ, Engelfriet CP et al., “Neonatal transfusions – International Forum,” </w:t>
      </w:r>
      <w:r w:rsidRPr="00583734">
        <w:rPr>
          <w:rFonts w:cs="Arial"/>
          <w:i/>
          <w:iCs/>
          <w:lang w:val="en-US"/>
        </w:rPr>
        <w:t>Vox Sang</w:t>
      </w:r>
      <w:r w:rsidRPr="00583734">
        <w:rPr>
          <w:rFonts w:cs="Arial"/>
          <w:lang w:val="en-US"/>
        </w:rPr>
        <w:t>, p. 96: 62–85, 2009.</w:t>
      </w:r>
    </w:p>
    <w:p w14:paraId="684D25EB" w14:textId="77777777" w:rsidR="00583734" w:rsidRPr="00583734" w:rsidRDefault="00583734" w:rsidP="00583734">
      <w:pPr>
        <w:pStyle w:val="Literaturverzeichnis"/>
        <w:rPr>
          <w:rFonts w:cs="Arial"/>
          <w:lang w:val="fr-CH"/>
        </w:rPr>
      </w:pPr>
      <w:r w:rsidRPr="00583734">
        <w:rPr>
          <w:rFonts w:cs="Arial"/>
          <w:lang w:val="en-US"/>
        </w:rPr>
        <w:t>[23]</w:t>
      </w:r>
      <w:r w:rsidRPr="00583734">
        <w:rPr>
          <w:rFonts w:cs="Arial"/>
          <w:lang w:val="en-US"/>
        </w:rPr>
        <w:tab/>
        <w:t xml:space="preserve">“EudraLex - Volume 4 - Good Manufacturing Practice (GMP) guidelines,” vol. 4, [Online]. </w:t>
      </w:r>
      <w:r w:rsidRPr="00583734">
        <w:rPr>
          <w:rFonts w:cs="Arial"/>
          <w:lang w:val="fr-CH"/>
        </w:rPr>
        <w:t>Available: http://ec.europa.eu/health/documents/eudralex/vol-4/index_en.htm</w:t>
      </w:r>
    </w:p>
    <w:p w14:paraId="72B49743" w14:textId="77777777" w:rsidR="00583734" w:rsidRPr="00583734" w:rsidRDefault="00583734" w:rsidP="00583734">
      <w:pPr>
        <w:pStyle w:val="Literaturverzeichnis"/>
        <w:rPr>
          <w:rFonts w:cs="Arial"/>
          <w:lang w:val="en-US"/>
        </w:rPr>
      </w:pPr>
      <w:r w:rsidRPr="00583734">
        <w:rPr>
          <w:rFonts w:cs="Arial"/>
          <w:lang w:val="en-US"/>
        </w:rPr>
        <w:lastRenderedPageBreak/>
        <w:t>[24]</w:t>
      </w:r>
      <w:r w:rsidRPr="00583734">
        <w:rPr>
          <w:rFonts w:cs="Arial"/>
          <w:lang w:val="en-US"/>
        </w:rPr>
        <w:tab/>
        <w:t xml:space="preserve">Sandler S. G., Eder A. F., Goldman M., and Winters J.L, “The entity of immunoglobulin A-related anaphylactic transfusion reactions is not evidence based,” </w:t>
      </w:r>
      <w:r w:rsidRPr="00583734">
        <w:rPr>
          <w:rFonts w:cs="Arial"/>
          <w:i/>
          <w:iCs/>
          <w:lang w:val="en-US"/>
        </w:rPr>
        <w:t>Transfusion (Paris)</w:t>
      </w:r>
      <w:r w:rsidRPr="00583734">
        <w:rPr>
          <w:rFonts w:cs="Arial"/>
          <w:lang w:val="en-US"/>
        </w:rPr>
        <w:t>, p. 55:199-204, 2015.</w:t>
      </w:r>
    </w:p>
    <w:p w14:paraId="151BDEF4" w14:textId="77777777" w:rsidR="00583734" w:rsidRPr="00583734" w:rsidRDefault="00583734" w:rsidP="00583734">
      <w:pPr>
        <w:pStyle w:val="Literaturverzeichnis"/>
        <w:rPr>
          <w:rFonts w:cs="Arial"/>
          <w:lang w:val="en-US"/>
        </w:rPr>
      </w:pPr>
      <w:r w:rsidRPr="00583734">
        <w:rPr>
          <w:rFonts w:cs="Arial"/>
          <w:lang w:val="en-US"/>
        </w:rPr>
        <w:t>[25]</w:t>
      </w:r>
      <w:r w:rsidRPr="00583734">
        <w:rPr>
          <w:rFonts w:cs="Arial"/>
          <w:lang w:val="en-US"/>
        </w:rPr>
        <w:tab/>
        <w:t xml:space="preserve">Anani W., Triulizi D., Yazer M.H., and Qu L, “Relative IgA-deficient recipients have an increased risk of severe allergic transfusion reactions,” </w:t>
      </w:r>
      <w:r w:rsidRPr="00583734">
        <w:rPr>
          <w:rFonts w:cs="Arial"/>
          <w:i/>
          <w:iCs/>
          <w:lang w:val="en-US"/>
        </w:rPr>
        <w:t>Vox Sang.</w:t>
      </w:r>
      <w:r w:rsidRPr="00583734">
        <w:rPr>
          <w:rFonts w:cs="Arial"/>
          <w:lang w:val="en-US"/>
        </w:rPr>
        <w:t>, p. 107:389-392, 2014.</w:t>
      </w:r>
    </w:p>
    <w:p w14:paraId="6944E29F" w14:textId="77777777" w:rsidR="00583734" w:rsidRPr="00583734" w:rsidRDefault="00583734" w:rsidP="00583734">
      <w:pPr>
        <w:pStyle w:val="Literaturverzeichnis"/>
        <w:rPr>
          <w:rFonts w:cs="Arial"/>
          <w:lang w:val="en-US"/>
        </w:rPr>
      </w:pPr>
      <w:r w:rsidRPr="00583734">
        <w:rPr>
          <w:rFonts w:cs="Arial"/>
          <w:lang w:val="en-US"/>
        </w:rPr>
        <w:t>[26]</w:t>
      </w:r>
      <w:r w:rsidRPr="00583734">
        <w:rPr>
          <w:rFonts w:cs="Arial"/>
          <w:lang w:val="en-US"/>
        </w:rPr>
        <w:tab/>
        <w:t xml:space="preserve">Hustinx H., Scholl N., Gowland P., Krieg R., Stolz M., Fontana S., Niederhauser C, “Screening of Swiss blood donors for IgA deficiency and its significance for the investigation of anaphylactic transfusion reactions,” </w:t>
      </w:r>
      <w:r w:rsidRPr="00583734">
        <w:rPr>
          <w:rFonts w:cs="Arial"/>
          <w:i/>
          <w:iCs/>
          <w:lang w:val="en-US"/>
        </w:rPr>
        <w:t>Swiss Med. Forum</w:t>
      </w:r>
      <w:r w:rsidRPr="00583734">
        <w:rPr>
          <w:rFonts w:cs="Arial"/>
          <w:lang w:val="en-US"/>
        </w:rPr>
        <w:t>, p. 9 (Suppl. 46), 2009.</w:t>
      </w:r>
    </w:p>
    <w:p w14:paraId="12B6DF82" w14:textId="77777777" w:rsidR="00583734" w:rsidRPr="00583734" w:rsidRDefault="00583734" w:rsidP="00583734">
      <w:pPr>
        <w:pStyle w:val="Literaturverzeichnis"/>
        <w:rPr>
          <w:rFonts w:cs="Arial"/>
          <w:lang w:val="en-US"/>
        </w:rPr>
      </w:pPr>
      <w:r w:rsidRPr="00583734">
        <w:rPr>
          <w:rFonts w:cs="Arial"/>
          <w:lang w:val="en-US"/>
        </w:rPr>
        <w:t>[27]</w:t>
      </w:r>
      <w:r w:rsidRPr="00583734">
        <w:rPr>
          <w:rFonts w:cs="Arial"/>
          <w:lang w:val="en-US"/>
        </w:rPr>
        <w:tab/>
        <w:t xml:space="preserve">Chou ST, Alsawas M, Fasano RM, et al., “American Society of Hematology 2020 guidelines for sickle cell disease: transfusion support,” </w:t>
      </w:r>
      <w:r w:rsidRPr="00583734">
        <w:rPr>
          <w:rFonts w:cs="Arial"/>
          <w:i/>
          <w:iCs/>
          <w:lang w:val="en-US"/>
        </w:rPr>
        <w:t>Blood Adv</w:t>
      </w:r>
      <w:r w:rsidRPr="00583734">
        <w:rPr>
          <w:rFonts w:cs="Arial"/>
          <w:lang w:val="en-US"/>
        </w:rPr>
        <w:t>, p. 4:327-55, 2020.</w:t>
      </w:r>
    </w:p>
    <w:p w14:paraId="0CA9275E" w14:textId="77777777" w:rsidR="00583734" w:rsidRPr="00583734" w:rsidRDefault="00583734" w:rsidP="00583734">
      <w:pPr>
        <w:pStyle w:val="Literaturverzeichnis"/>
        <w:rPr>
          <w:rFonts w:cs="Arial"/>
          <w:lang w:val="en-US"/>
        </w:rPr>
      </w:pPr>
      <w:r w:rsidRPr="00583734">
        <w:rPr>
          <w:rFonts w:cs="Arial"/>
          <w:lang w:val="en-US"/>
        </w:rPr>
        <w:t>[28]</w:t>
      </w:r>
      <w:r w:rsidRPr="00583734">
        <w:rPr>
          <w:rFonts w:cs="Arial"/>
          <w:lang w:val="en-US"/>
        </w:rPr>
        <w:tab/>
        <w:t xml:space="preserve">Linder GE, Chou ST, “Red cell transfusion and alloimmunization in sickle cell disease,” </w:t>
      </w:r>
      <w:r w:rsidRPr="00583734">
        <w:rPr>
          <w:rFonts w:cs="Arial"/>
          <w:i/>
          <w:iCs/>
          <w:lang w:val="en-US"/>
        </w:rPr>
        <w:t>Haematologica</w:t>
      </w:r>
      <w:r w:rsidRPr="00583734">
        <w:rPr>
          <w:rFonts w:cs="Arial"/>
          <w:lang w:val="en-US"/>
        </w:rPr>
        <w:t>, p. 106:1805–15, 2021.</w:t>
      </w:r>
    </w:p>
    <w:p w14:paraId="5057E9E9" w14:textId="77777777" w:rsidR="00583734" w:rsidRPr="00583734" w:rsidRDefault="00583734" w:rsidP="00583734">
      <w:pPr>
        <w:pStyle w:val="Literaturverzeichnis"/>
        <w:rPr>
          <w:rFonts w:cs="Arial"/>
          <w:lang w:val="en-US"/>
        </w:rPr>
      </w:pPr>
      <w:r w:rsidRPr="00583734">
        <w:rPr>
          <w:rFonts w:cs="Arial"/>
          <w:lang w:val="en-US"/>
        </w:rPr>
        <w:t>[29]</w:t>
      </w:r>
      <w:r w:rsidRPr="00583734">
        <w:rPr>
          <w:rFonts w:cs="Arial"/>
          <w:lang w:val="en-US"/>
        </w:rPr>
        <w:tab/>
        <w:t xml:space="preserve">Narbey D, Habibi A, Chadebech P et al., “Incidence and predictive score for delayed hemolytic transfusion reaction in adult patients with sickle cell disease,” </w:t>
      </w:r>
      <w:r w:rsidRPr="00583734">
        <w:rPr>
          <w:rFonts w:cs="Arial"/>
          <w:i/>
          <w:iCs/>
          <w:lang w:val="en-US"/>
        </w:rPr>
        <w:t>Am. J. Hematol.</w:t>
      </w:r>
      <w:r w:rsidRPr="00583734">
        <w:rPr>
          <w:rFonts w:cs="Arial"/>
          <w:lang w:val="en-US"/>
        </w:rPr>
        <w:t>, p. 92:1340-1348, 2017.</w:t>
      </w:r>
    </w:p>
    <w:p w14:paraId="57B5624A" w14:textId="77777777" w:rsidR="00583734" w:rsidRPr="00583734" w:rsidRDefault="00583734" w:rsidP="00583734">
      <w:pPr>
        <w:pStyle w:val="Literaturverzeichnis"/>
        <w:rPr>
          <w:rFonts w:cs="Arial"/>
          <w:lang w:val="en-US"/>
        </w:rPr>
      </w:pPr>
      <w:r w:rsidRPr="00583734">
        <w:rPr>
          <w:rFonts w:cs="Arial"/>
          <w:lang w:val="en-US"/>
        </w:rPr>
        <w:t>[30]</w:t>
      </w:r>
      <w:r w:rsidRPr="00583734">
        <w:rPr>
          <w:rFonts w:cs="Arial"/>
          <w:lang w:val="en-US"/>
        </w:rPr>
        <w:tab/>
        <w:t xml:space="preserve">Habibi A, Mekontso-Dessap A, Guillaud C, et al., “Delayed hemolytic transfusion reaction in adult sickle-cell disease: presentations, outcomes, and treatments of 99 referral center episodes,” </w:t>
      </w:r>
      <w:r w:rsidRPr="00583734">
        <w:rPr>
          <w:rFonts w:cs="Arial"/>
          <w:i/>
          <w:iCs/>
          <w:lang w:val="en-US"/>
        </w:rPr>
        <w:t>Am J Hematol</w:t>
      </w:r>
      <w:r w:rsidRPr="00583734">
        <w:rPr>
          <w:rFonts w:cs="Arial"/>
          <w:lang w:val="en-US"/>
        </w:rPr>
        <w:t>, p. 91:989-94, 2016.</w:t>
      </w:r>
    </w:p>
    <w:p w14:paraId="3EA36002" w14:textId="329F020A" w:rsidR="00EF4BEC" w:rsidRPr="00047D06" w:rsidRDefault="00583734" w:rsidP="00583734">
      <w:pPr>
        <w:pStyle w:val="Textnormal"/>
        <w:ind w:left="0"/>
        <w:rPr>
          <w:rFonts w:eastAsiaTheme="minorEastAsia"/>
          <w:highlight w:val="yellow"/>
          <w:lang w:val="en-US"/>
        </w:rPr>
      </w:pPr>
      <w:r>
        <w:rPr>
          <w:rFonts w:eastAsiaTheme="minorEastAsia"/>
          <w:highlight w:val="yellow"/>
          <w:lang w:val="en-US"/>
        </w:rPr>
        <w:fldChar w:fldCharType="end"/>
      </w:r>
    </w:p>
    <w:p w14:paraId="1CA6FC27" w14:textId="77777777" w:rsidR="00EF4BEC" w:rsidRPr="00047D06" w:rsidRDefault="00EF4BEC">
      <w:pPr>
        <w:rPr>
          <w:rFonts w:cs="Arial"/>
          <w:lang w:val="en-US"/>
        </w:rPr>
        <w:sectPr w:rsidR="00EF4BEC" w:rsidRPr="00047D06">
          <w:pgSz w:w="11906" w:h="16838"/>
          <w:pgMar w:top="1418" w:right="1418" w:bottom="1134" w:left="1418" w:header="425" w:footer="170" w:gutter="0"/>
          <w:cols w:space="708"/>
          <w:docGrid w:linePitch="360"/>
        </w:sectPr>
      </w:pPr>
    </w:p>
    <w:p w14:paraId="04DA111F" w14:textId="77777777" w:rsidR="00EF4BEC" w:rsidRDefault="009E2ACD">
      <w:pPr>
        <w:rPr>
          <w:rFonts w:cs="Arial"/>
          <w:lang w:val="it-IT"/>
        </w:rPr>
      </w:pPr>
      <w:r>
        <w:rPr>
          <w:rFonts w:cs="Arial"/>
          <w:lang w:val="it-IT"/>
        </w:rPr>
        <w:lastRenderedPageBreak/>
        <w:t>Per ulteriori informazioni Trasfusione CRS Svizzera (T-CH CRS), tutti i servizi trasfusionali regionali CRS e il Comitato dell’ASMT sono a vostra disposizione:</w:t>
      </w:r>
    </w:p>
    <w:p w14:paraId="3CCF90D4" w14:textId="77777777" w:rsidR="00EF4BEC" w:rsidRDefault="00EF4BEC">
      <w:pPr>
        <w:rPr>
          <w:rFonts w:cs="Arial"/>
          <w:lang w:val="it-IT"/>
        </w:rPr>
      </w:pPr>
    </w:p>
    <w:p w14:paraId="01F3E232" w14:textId="7DF6394C" w:rsidR="00EF4BEC" w:rsidRDefault="009E2ACD">
      <w:pPr>
        <w:tabs>
          <w:tab w:val="left" w:pos="5670"/>
        </w:tabs>
        <w:rPr>
          <w:rFonts w:cs="Arial"/>
          <w:lang w:val="it-IT"/>
        </w:rPr>
      </w:pPr>
      <w:r>
        <w:rPr>
          <w:rFonts w:cs="Arial"/>
          <w:lang w:val="it-IT"/>
        </w:rPr>
        <w:t>Trasfusione CRS Svizzera</w:t>
      </w:r>
      <w:r>
        <w:rPr>
          <w:rFonts w:cs="Arial"/>
          <w:lang w:val="it-IT"/>
        </w:rPr>
        <w:tab/>
        <w:t>Segretariato ASMT</w:t>
      </w:r>
      <w:r>
        <w:rPr>
          <w:rFonts w:cs="Arial"/>
          <w:lang w:val="it-IT"/>
        </w:rPr>
        <w:br/>
      </w:r>
      <w:r w:rsidR="001D6C23">
        <w:rPr>
          <w:rFonts w:cs="Arial"/>
          <w:lang w:val="it-IT"/>
        </w:rPr>
        <w:t>Waldeggstrasse 51</w:t>
      </w:r>
      <w:r>
        <w:rPr>
          <w:rFonts w:cs="Arial"/>
          <w:lang w:val="it-IT"/>
        </w:rPr>
        <w:tab/>
        <w:t>c/o Trasfusione CRS Svizzera</w:t>
      </w:r>
      <w:r w:rsidR="00B83906">
        <w:rPr>
          <w:rFonts w:cs="Arial"/>
          <w:lang w:val="it-IT"/>
        </w:rPr>
        <w:t>3097 Liebefeld</w:t>
      </w:r>
      <w:r>
        <w:rPr>
          <w:rFonts w:cs="Arial"/>
          <w:lang w:val="it-IT"/>
        </w:rPr>
        <w:tab/>
        <w:t>Stefanie Mast</w:t>
      </w:r>
      <w:r w:rsidR="00B83906">
        <w:rPr>
          <w:rFonts w:cs="Arial"/>
          <w:lang w:val="it-IT"/>
        </w:rPr>
        <w:tab/>
      </w:r>
      <w:r>
        <w:rPr>
          <w:rFonts w:cs="Arial"/>
          <w:lang w:val="it-IT"/>
        </w:rPr>
        <w:br/>
      </w:r>
      <w:hyperlink r:id="rId29" w:tooltip="http://www.blutspende.ch" w:history="1">
        <w:r>
          <w:rPr>
            <w:rStyle w:val="Hyperlink"/>
            <w:rFonts w:eastAsiaTheme="minorEastAsia"/>
            <w:szCs w:val="20"/>
            <w:lang w:val="it-IT"/>
          </w:rPr>
          <w:t>www.blutspende.ch</w:t>
        </w:r>
      </w:hyperlink>
      <w:r>
        <w:rPr>
          <w:rFonts w:cs="Arial"/>
          <w:lang w:val="it-IT"/>
        </w:rPr>
        <w:tab/>
      </w:r>
      <w:r w:rsidR="00B83906">
        <w:rPr>
          <w:rFonts w:cs="Arial"/>
          <w:lang w:val="it-IT"/>
        </w:rPr>
        <w:t>Waldeggstrasse 51</w:t>
      </w:r>
      <w:r>
        <w:rPr>
          <w:rFonts w:cs="Arial"/>
          <w:lang w:val="it-IT"/>
        </w:rPr>
        <w:br/>
      </w:r>
      <w:hyperlink r:id="rId30" w:tooltip="mailto:info@blutspende.ch" w:history="1">
        <w:r w:rsidR="001D6C23">
          <w:rPr>
            <w:rStyle w:val="Hyperlink"/>
            <w:rFonts w:eastAsiaTheme="minorEastAsia"/>
            <w:szCs w:val="20"/>
            <w:lang w:val="it-IT"/>
          </w:rPr>
          <w:t>bsd@blutspende.ch</w:t>
        </w:r>
      </w:hyperlink>
      <w:r>
        <w:rPr>
          <w:rFonts w:cs="Arial"/>
          <w:lang w:val="it-IT"/>
        </w:rPr>
        <w:tab/>
      </w:r>
      <w:r w:rsidR="00B83906">
        <w:rPr>
          <w:rFonts w:cs="Arial"/>
          <w:lang w:val="it-IT"/>
        </w:rPr>
        <w:t>3097 Liebefeld</w:t>
      </w:r>
    </w:p>
    <w:p w14:paraId="04394F17" w14:textId="3CE5253A" w:rsidR="00EF4BEC" w:rsidRDefault="009E2ACD">
      <w:pPr>
        <w:tabs>
          <w:tab w:val="left" w:pos="5670"/>
        </w:tabs>
        <w:rPr>
          <w:rStyle w:val="Hyperlink"/>
          <w:rFonts w:eastAsiaTheme="minorEastAsia"/>
          <w:szCs w:val="20"/>
          <w:lang w:val="it-IT"/>
        </w:rPr>
      </w:pPr>
      <w:r>
        <w:rPr>
          <w:rStyle w:val="Hyperlink"/>
          <w:rFonts w:eastAsiaTheme="minorEastAsia"/>
          <w:szCs w:val="20"/>
          <w:u w:val="none"/>
          <w:lang w:val="it-IT"/>
        </w:rPr>
        <w:tab/>
      </w:r>
      <w:hyperlink r:id="rId31" w:tooltip="http://www.svtm-asmt.ch" w:history="1">
        <w:r>
          <w:rPr>
            <w:rStyle w:val="Hyperlink"/>
            <w:rFonts w:eastAsiaTheme="minorEastAsia"/>
            <w:szCs w:val="20"/>
            <w:lang w:val="it-IT"/>
          </w:rPr>
          <w:t>www.svtm-asmt.ch</w:t>
        </w:r>
      </w:hyperlink>
      <w:r>
        <w:rPr>
          <w:rStyle w:val="Hyperlink"/>
          <w:rFonts w:eastAsiaTheme="minorEastAsia"/>
          <w:szCs w:val="20"/>
          <w:lang w:val="it-IT"/>
        </w:rPr>
        <w:t xml:space="preserve"> </w:t>
      </w:r>
      <w:r>
        <w:rPr>
          <w:rStyle w:val="Hyperlink"/>
          <w:rFonts w:eastAsiaTheme="minorEastAsia"/>
          <w:szCs w:val="20"/>
          <w:lang w:val="it-IT"/>
        </w:rPr>
        <w:br/>
      </w:r>
      <w:r>
        <w:rPr>
          <w:rStyle w:val="Hyperlink"/>
          <w:rFonts w:eastAsiaTheme="minorEastAsia"/>
          <w:szCs w:val="20"/>
          <w:u w:val="none"/>
          <w:lang w:val="it-IT"/>
        </w:rPr>
        <w:tab/>
      </w:r>
      <w:hyperlink r:id="rId32" w:tooltip="mailto:stefanie.mast@blutspende.ch" w:history="1">
        <w:r w:rsidR="001D6C23">
          <w:rPr>
            <w:rStyle w:val="Hyperlink"/>
            <w:rFonts w:eastAsiaTheme="minorEastAsia"/>
            <w:szCs w:val="20"/>
            <w:lang w:val="it-IT"/>
          </w:rPr>
          <w:t>svtm-asmt@blutspende.ch</w:t>
        </w:r>
      </w:hyperlink>
    </w:p>
    <w:p w14:paraId="259BDE4E" w14:textId="77777777" w:rsidR="00EF4BEC" w:rsidRDefault="00EF4BEC">
      <w:pPr>
        <w:rPr>
          <w:rFonts w:cs="Arial"/>
          <w:lang w:val="it-IT"/>
        </w:rPr>
      </w:pPr>
    </w:p>
    <w:p w14:paraId="67AC229A" w14:textId="602241B8" w:rsidR="00EF4BEC" w:rsidRDefault="00215419">
      <w:pPr>
        <w:rPr>
          <w:rFonts w:cs="Arial"/>
          <w:b/>
          <w:lang w:val="it-IT"/>
        </w:rPr>
      </w:pPr>
      <w:r>
        <w:rPr>
          <w:rFonts w:cs="Arial"/>
          <w:b/>
          <w:lang w:val="it-IT"/>
        </w:rPr>
        <w:t xml:space="preserve">Responsabili del </w:t>
      </w:r>
      <w:r w:rsidR="009E2ACD">
        <w:rPr>
          <w:rFonts w:cs="Arial"/>
          <w:b/>
          <w:lang w:val="it-IT"/>
        </w:rPr>
        <w:t xml:space="preserve">Gruppo </w:t>
      </w:r>
      <w:r>
        <w:rPr>
          <w:rFonts w:cs="Arial"/>
          <w:b/>
          <w:lang w:val="it-IT"/>
        </w:rPr>
        <w:t xml:space="preserve">di lavoro </w:t>
      </w:r>
      <w:r w:rsidR="009E2ACD">
        <w:rPr>
          <w:rFonts w:cs="Arial"/>
          <w:b/>
          <w:lang w:val="it-IT"/>
        </w:rPr>
        <w:t xml:space="preserve">specializzato </w:t>
      </w:r>
      <w:r>
        <w:rPr>
          <w:rFonts w:cs="Arial"/>
          <w:b/>
          <w:lang w:val="it-IT"/>
        </w:rPr>
        <w:t xml:space="preserve">di </w:t>
      </w:r>
      <w:r w:rsidR="009E2ACD">
        <w:rPr>
          <w:rFonts w:cs="Arial"/>
          <w:b/>
          <w:lang w:val="it-IT"/>
        </w:rPr>
        <w:t xml:space="preserve">Immunoematologia </w:t>
      </w:r>
    </w:p>
    <w:p w14:paraId="51B85B74" w14:textId="77777777" w:rsidR="00EF4BEC" w:rsidRDefault="009E2ACD">
      <w:pPr>
        <w:pStyle w:val="AufzhlungPunkt"/>
      </w:pPr>
      <w:r>
        <w:t>Soraya Amar, membro gruppo specializzato (rappresentante T-CH )</w:t>
      </w:r>
    </w:p>
    <w:p w14:paraId="6040C0DA" w14:textId="5FE5CFFD" w:rsidR="00215419" w:rsidRPr="00047D06" w:rsidRDefault="00215419" w:rsidP="00215419">
      <w:pPr>
        <w:pStyle w:val="AufzhlungPunkt"/>
        <w:rPr>
          <w:lang w:val="it-CH"/>
        </w:rPr>
      </w:pPr>
      <w:r w:rsidRPr="00047D06">
        <w:rPr>
          <w:lang w:val="it-CH"/>
        </w:rPr>
        <w:t>Adrian Bachofner, membro gruppo speacilizzato (rappresentante Universitätsspital Zürich)</w:t>
      </w:r>
    </w:p>
    <w:p w14:paraId="289949B5" w14:textId="75E470CA" w:rsidR="00EF4BEC" w:rsidRDefault="009E2ACD">
      <w:pPr>
        <w:pStyle w:val="AufzhlungPunkt"/>
      </w:pPr>
      <w:r>
        <w:t xml:space="preserve">Daniel Bolliger, </w:t>
      </w:r>
      <w:r w:rsidR="00215419" w:rsidRPr="0010029B">
        <w:rPr>
          <w:lang w:val="it-CH"/>
        </w:rPr>
        <w:t xml:space="preserve">membro gruppo speacilizzato </w:t>
      </w:r>
      <w:r w:rsidR="00215419">
        <w:rPr>
          <w:lang w:val="it-CH"/>
        </w:rPr>
        <w:t>(</w:t>
      </w:r>
      <w:r>
        <w:t>rappresentante Anestesia</w:t>
      </w:r>
      <w:r w:rsidR="00215419">
        <w:t>)</w:t>
      </w:r>
    </w:p>
    <w:p w14:paraId="1BAD730E" w14:textId="77777777" w:rsidR="00EF4BEC" w:rsidRDefault="009E2ACD">
      <w:pPr>
        <w:pStyle w:val="AufzhlungPunkt"/>
      </w:pPr>
      <w:r>
        <w:t>Giorgia Canellini, membro gruppo specializzato (TIR)</w:t>
      </w:r>
    </w:p>
    <w:p w14:paraId="6823B2CE" w14:textId="77777777" w:rsidR="00EF4BEC" w:rsidRDefault="009E2ACD">
      <w:pPr>
        <w:pStyle w:val="AufzhlungPunkt"/>
      </w:pPr>
      <w:r>
        <w:t>Michael Daskalakis, membro gruppo specializzato (Inselspital)</w:t>
      </w:r>
    </w:p>
    <w:p w14:paraId="3C8F770E" w14:textId="77777777" w:rsidR="00EF4BEC" w:rsidRDefault="009E2ACD">
      <w:pPr>
        <w:pStyle w:val="AufzhlungPunkt"/>
      </w:pPr>
      <w:r>
        <w:t>Charlotte Engström, membro gruppo specializzato (SRTS ZH)</w:t>
      </w:r>
    </w:p>
    <w:p w14:paraId="311C4D4E" w14:textId="77777777" w:rsidR="00EF4BEC" w:rsidRDefault="009E2ACD">
      <w:pPr>
        <w:pStyle w:val="AufzhlungPunkt"/>
      </w:pPr>
      <w:r>
        <w:t>Sofia Lejon Crottet, responsabile gruppo specializzato (IRB)</w:t>
      </w:r>
    </w:p>
    <w:p w14:paraId="7BF04505" w14:textId="6B8B4CA0" w:rsidR="00EF4BEC" w:rsidRDefault="009E2ACD">
      <w:pPr>
        <w:pStyle w:val="AufzhlungPunkt"/>
      </w:pPr>
      <w:r>
        <w:t xml:space="preserve">Antoinette Monn, </w:t>
      </w:r>
      <w:r w:rsidR="00215419" w:rsidRPr="0010029B">
        <w:rPr>
          <w:lang w:val="it-CH"/>
        </w:rPr>
        <w:t xml:space="preserve">membro gruppo speacilizzato </w:t>
      </w:r>
      <w:r w:rsidR="00215419">
        <w:rPr>
          <w:lang w:val="it-CH"/>
        </w:rPr>
        <w:t>(</w:t>
      </w:r>
      <w:r>
        <w:t>rappresentante Stadtspital Waid und Triemli</w:t>
      </w:r>
      <w:r w:rsidR="00215419">
        <w:t>)</w:t>
      </w:r>
    </w:p>
    <w:p w14:paraId="269F4484" w14:textId="77777777" w:rsidR="00EF4BEC" w:rsidRDefault="009E2ACD">
      <w:pPr>
        <w:pStyle w:val="AufzhlungPunkt"/>
      </w:pPr>
      <w:r>
        <w:t>Tanja Rüfli, membro gruppo specializzato (SRTS BS-BL)</w:t>
      </w:r>
    </w:p>
    <w:p w14:paraId="471433B3" w14:textId="77777777" w:rsidR="00EF4BEC" w:rsidRDefault="009E2ACD">
      <w:pPr>
        <w:pStyle w:val="AufzhlungPunkt"/>
      </w:pPr>
      <w:r>
        <w:t>Belinda Ryser, membro gruppo specializzato (SRTS SI)</w:t>
      </w:r>
    </w:p>
    <w:p w14:paraId="027A0056" w14:textId="77777777" w:rsidR="00EF4BEC" w:rsidRDefault="009E2ACD">
      <w:pPr>
        <w:pStyle w:val="AufzhlungPunkt"/>
      </w:pPr>
      <w:r>
        <w:t>Sophie Waldvogel, membro gruppo specializzato (SRTS GE</w:t>
      </w:r>
      <w:r w:rsidR="00215419">
        <w:t xml:space="preserve"> e Rappresentante ASMT</w:t>
      </w:r>
      <w:r>
        <w:t>)</w:t>
      </w:r>
    </w:p>
    <w:p w14:paraId="4DD3E18B" w14:textId="77777777" w:rsidR="00215419" w:rsidRDefault="00215419" w:rsidP="00215419">
      <w:pPr>
        <w:pStyle w:val="AufzhlungPunkt"/>
        <w:numPr>
          <w:ilvl w:val="0"/>
          <w:numId w:val="0"/>
        </w:numPr>
        <w:ind w:left="720" w:hanging="360"/>
      </w:pPr>
    </w:p>
    <w:p w14:paraId="628CA371" w14:textId="7A24BDC8" w:rsidR="00215419" w:rsidRPr="00047D06" w:rsidRDefault="00215419" w:rsidP="00215419">
      <w:pPr>
        <w:tabs>
          <w:tab w:val="left" w:pos="2308"/>
          <w:tab w:val="left" w:pos="2309"/>
        </w:tabs>
        <w:spacing w:before="60" w:after="120"/>
        <w:rPr>
          <w:b/>
          <w:bCs/>
          <w:lang w:val="it-CH"/>
        </w:rPr>
      </w:pPr>
      <w:r w:rsidRPr="00047D06">
        <w:rPr>
          <w:b/>
          <w:bCs/>
          <w:lang w:val="it-CH"/>
        </w:rPr>
        <w:t>Membri emeriti del gruppo di lavoro specializzato di immunoematologia</w:t>
      </w:r>
    </w:p>
    <w:p w14:paraId="48671552" w14:textId="77777777" w:rsidR="00215419" w:rsidRDefault="00215419" w:rsidP="00047D06">
      <w:pPr>
        <w:pStyle w:val="Textnormal"/>
        <w:numPr>
          <w:ilvl w:val="0"/>
          <w:numId w:val="19"/>
        </w:numPr>
        <w:ind w:left="709" w:hanging="283"/>
        <w:rPr>
          <w:rFonts w:eastAsia="Arial"/>
          <w:szCs w:val="22"/>
          <w:lang w:val="de-DE"/>
        </w:rPr>
      </w:pPr>
      <w:r w:rsidRPr="00F77532">
        <w:rPr>
          <w:rFonts w:eastAsia="Arial"/>
          <w:szCs w:val="22"/>
          <w:lang w:val="de-DE"/>
        </w:rPr>
        <w:t>Beat M. Frey</w:t>
      </w:r>
    </w:p>
    <w:p w14:paraId="35A9BA84" w14:textId="77777777" w:rsidR="00215419" w:rsidRPr="00F77532" w:rsidRDefault="00215419" w:rsidP="00047D06">
      <w:pPr>
        <w:pStyle w:val="Textnormal"/>
        <w:numPr>
          <w:ilvl w:val="0"/>
          <w:numId w:val="19"/>
        </w:numPr>
        <w:ind w:left="709" w:hanging="283"/>
        <w:rPr>
          <w:rFonts w:eastAsia="Arial"/>
          <w:szCs w:val="22"/>
          <w:lang w:val="de-DE"/>
        </w:rPr>
      </w:pPr>
      <w:r w:rsidRPr="00F77532">
        <w:rPr>
          <w:rFonts w:eastAsia="Arial"/>
          <w:szCs w:val="22"/>
          <w:lang w:val="de-DE"/>
        </w:rPr>
        <w:t>Hein Hustinx</w:t>
      </w:r>
    </w:p>
    <w:p w14:paraId="4B65179E" w14:textId="77777777" w:rsidR="00215419" w:rsidRDefault="00215419" w:rsidP="00047D06">
      <w:pPr>
        <w:pStyle w:val="Textnormal"/>
        <w:numPr>
          <w:ilvl w:val="0"/>
          <w:numId w:val="19"/>
        </w:numPr>
        <w:ind w:left="709" w:hanging="283"/>
        <w:rPr>
          <w:rFonts w:eastAsia="Arial"/>
          <w:szCs w:val="22"/>
          <w:lang w:val="de-DE"/>
        </w:rPr>
      </w:pPr>
      <w:r w:rsidRPr="00F77532">
        <w:rPr>
          <w:rFonts w:eastAsia="Arial"/>
          <w:szCs w:val="22"/>
          <w:lang w:val="de-DE"/>
        </w:rPr>
        <w:t>Behrouz Mansouri</w:t>
      </w:r>
    </w:p>
    <w:p w14:paraId="0047F50C" w14:textId="77777777" w:rsidR="00215419" w:rsidRDefault="00215419" w:rsidP="00047D06">
      <w:pPr>
        <w:pStyle w:val="Listenabsatz"/>
        <w:widowControl w:val="0"/>
        <w:numPr>
          <w:ilvl w:val="0"/>
          <w:numId w:val="19"/>
        </w:numPr>
        <w:tabs>
          <w:tab w:val="left" w:pos="2308"/>
          <w:tab w:val="left" w:pos="2309"/>
        </w:tabs>
        <w:autoSpaceDE w:val="0"/>
        <w:autoSpaceDN w:val="0"/>
        <w:spacing w:before="60" w:after="120" w:line="240" w:lineRule="auto"/>
        <w:ind w:left="709" w:hanging="283"/>
        <w:contextualSpacing w:val="0"/>
      </w:pPr>
      <w:r>
        <w:t>Inga Hegemann</w:t>
      </w:r>
    </w:p>
    <w:p w14:paraId="63908F5F" w14:textId="77777777" w:rsidR="00215419" w:rsidRDefault="00215419" w:rsidP="00047D06">
      <w:pPr>
        <w:pStyle w:val="Listenabsatz"/>
        <w:widowControl w:val="0"/>
        <w:numPr>
          <w:ilvl w:val="0"/>
          <w:numId w:val="19"/>
        </w:numPr>
        <w:tabs>
          <w:tab w:val="left" w:pos="2308"/>
          <w:tab w:val="left" w:pos="2309"/>
        </w:tabs>
        <w:autoSpaceDE w:val="0"/>
        <w:autoSpaceDN w:val="0"/>
        <w:spacing w:before="60" w:after="120" w:line="240" w:lineRule="auto"/>
        <w:ind w:left="709" w:hanging="283"/>
        <w:contextualSpacing w:val="0"/>
      </w:pPr>
      <w:r>
        <w:t>Christoph Niederhauser</w:t>
      </w:r>
    </w:p>
    <w:p w14:paraId="6D103942" w14:textId="470262A9" w:rsidR="00215419" w:rsidRDefault="00215419" w:rsidP="00047D06">
      <w:pPr>
        <w:pStyle w:val="AufzhlungPunkt"/>
        <w:numPr>
          <w:ilvl w:val="0"/>
          <w:numId w:val="0"/>
        </w:numPr>
        <w:ind w:left="709" w:hanging="283"/>
        <w:sectPr w:rsidR="00215419">
          <w:pgSz w:w="11906" w:h="16838"/>
          <w:pgMar w:top="1418" w:right="1418" w:bottom="1134" w:left="1418" w:header="425" w:footer="170" w:gutter="0"/>
          <w:cols w:space="708"/>
          <w:docGrid w:linePitch="360"/>
        </w:sectPr>
      </w:pPr>
    </w:p>
    <w:p w14:paraId="22719403" w14:textId="77777777" w:rsidR="00EF4BEC" w:rsidRDefault="009E2ACD" w:rsidP="007C6931">
      <w:pPr>
        <w:pStyle w:val="berschrift1"/>
        <w:numPr>
          <w:ilvl w:val="0"/>
          <w:numId w:val="0"/>
        </w:numPr>
        <w:ind w:left="432" w:hanging="432"/>
      </w:pPr>
      <w:bookmarkStart w:id="181" w:name="_Toc161749184"/>
      <w:r>
        <w:lastRenderedPageBreak/>
        <w:t>Addendum 1</w:t>
      </w:r>
      <w:bookmarkEnd w:id="181"/>
    </w:p>
    <w:tbl>
      <w:tblPr>
        <w:tblpPr w:leftFromText="141" w:rightFromText="141" w:vertAnchor="page" w:horzAnchor="margin" w:tblpX="-993" w:tblpY="3316"/>
        <w:tblW w:w="11057" w:type="dxa"/>
        <w:tblLayout w:type="fixed"/>
        <w:tblCellMar>
          <w:left w:w="70" w:type="dxa"/>
          <w:right w:w="70" w:type="dxa"/>
        </w:tblCellMar>
        <w:tblLook w:val="04A0" w:firstRow="1" w:lastRow="0" w:firstColumn="1" w:lastColumn="0" w:noHBand="0" w:noVBand="1"/>
      </w:tblPr>
      <w:tblGrid>
        <w:gridCol w:w="611"/>
        <w:gridCol w:w="1407"/>
        <w:gridCol w:w="901"/>
        <w:gridCol w:w="671"/>
        <w:gridCol w:w="680"/>
        <w:gridCol w:w="661"/>
        <w:gridCol w:w="670"/>
        <w:gridCol w:w="661"/>
        <w:gridCol w:w="700"/>
        <w:gridCol w:w="660"/>
        <w:gridCol w:w="680"/>
        <w:gridCol w:w="661"/>
        <w:gridCol w:w="651"/>
        <w:gridCol w:w="734"/>
        <w:gridCol w:w="709"/>
      </w:tblGrid>
      <w:tr w:rsidR="00EF4BEC" w14:paraId="3DB832F0" w14:textId="77777777">
        <w:trPr>
          <w:trHeight w:val="699"/>
        </w:trPr>
        <w:tc>
          <w:tcPr>
            <w:tcW w:w="611" w:type="dxa"/>
            <w:vMerge w:val="restart"/>
            <w:tcBorders>
              <w:top w:val="single" w:sz="8" w:space="0" w:color="000000"/>
              <w:left w:val="none" w:sz="4" w:space="0" w:color="000000"/>
              <w:right w:val="single" w:sz="4" w:space="0" w:color="FFFFFF"/>
            </w:tcBorders>
            <w:shd w:val="clear" w:color="4BACC6" w:fill="4BACC6"/>
            <w:noWrap/>
            <w:vAlign w:val="center"/>
          </w:tcPr>
          <w:p w14:paraId="7A47F474" w14:textId="77777777" w:rsidR="00EF4BEC" w:rsidRDefault="009E2ACD">
            <w:pPr>
              <w:rPr>
                <w:rFonts w:cs="Arial"/>
              </w:rPr>
            </w:pPr>
            <w:r>
              <w:rPr>
                <w:rFonts w:cs="Arial"/>
              </w:rPr>
              <w:t>N. ISBT</w:t>
            </w:r>
          </w:p>
        </w:tc>
        <w:tc>
          <w:tcPr>
            <w:tcW w:w="1407" w:type="dxa"/>
            <w:vMerge w:val="restart"/>
            <w:tcBorders>
              <w:top w:val="none" w:sz="4" w:space="0" w:color="000000"/>
              <w:left w:val="single" w:sz="4" w:space="0" w:color="FFFFFF"/>
              <w:right w:val="single" w:sz="4" w:space="0" w:color="FFFFFF"/>
            </w:tcBorders>
            <w:shd w:val="clear" w:color="C0504D" w:fill="C0504D"/>
            <w:noWrap/>
            <w:vAlign w:val="center"/>
          </w:tcPr>
          <w:p w14:paraId="3579FD47" w14:textId="77777777" w:rsidR="00EF4BEC" w:rsidRDefault="009E2ACD">
            <w:pPr>
              <w:rPr>
                <w:rFonts w:cs="Arial"/>
              </w:rPr>
            </w:pPr>
            <w:r>
              <w:rPr>
                <w:rFonts w:cs="Arial"/>
              </w:rPr>
              <w:t>Sistema</w:t>
            </w:r>
          </w:p>
        </w:tc>
        <w:tc>
          <w:tcPr>
            <w:tcW w:w="9039" w:type="dxa"/>
            <w:gridSpan w:val="13"/>
            <w:tcBorders>
              <w:top w:val="none" w:sz="4" w:space="0" w:color="000000"/>
              <w:left w:val="single" w:sz="4" w:space="0" w:color="FFFFFF"/>
              <w:bottom w:val="single" w:sz="12" w:space="0" w:color="FFFFFF"/>
              <w:right w:val="none" w:sz="4" w:space="0" w:color="000000"/>
            </w:tcBorders>
            <w:shd w:val="clear" w:color="C0504D" w:fill="C0504D"/>
            <w:noWrap/>
            <w:vAlign w:val="center"/>
          </w:tcPr>
          <w:p w14:paraId="23F65F71" w14:textId="77777777" w:rsidR="00EF4BEC" w:rsidRDefault="009E2ACD">
            <w:pPr>
              <w:rPr>
                <w:rFonts w:cs="Arial"/>
              </w:rPr>
            </w:pPr>
            <w:r>
              <w:rPr>
                <w:rFonts w:cs="Arial"/>
              </w:rPr>
              <w:t>Numero antigene</w:t>
            </w:r>
          </w:p>
        </w:tc>
      </w:tr>
      <w:tr w:rsidR="00EF4BEC" w14:paraId="07BA2654" w14:textId="77777777">
        <w:trPr>
          <w:trHeight w:val="416"/>
        </w:trPr>
        <w:tc>
          <w:tcPr>
            <w:tcW w:w="611" w:type="dxa"/>
            <w:vMerge/>
            <w:tcBorders>
              <w:left w:val="none" w:sz="4" w:space="0" w:color="000000"/>
              <w:bottom w:val="single" w:sz="8" w:space="0" w:color="000000"/>
              <w:right w:val="single" w:sz="4" w:space="0" w:color="FFFFFF"/>
            </w:tcBorders>
            <w:shd w:val="clear" w:color="4BACC6" w:fill="4BACC6"/>
            <w:noWrap/>
            <w:vAlign w:val="center"/>
          </w:tcPr>
          <w:p w14:paraId="5E870690" w14:textId="77777777" w:rsidR="00EF4BEC" w:rsidRDefault="00EF4BEC">
            <w:pPr>
              <w:rPr>
                <w:rFonts w:cs="Arial"/>
              </w:rPr>
            </w:pPr>
          </w:p>
        </w:tc>
        <w:tc>
          <w:tcPr>
            <w:tcW w:w="1407" w:type="dxa"/>
            <w:vMerge/>
            <w:tcBorders>
              <w:left w:val="single" w:sz="4" w:space="0" w:color="FFFFFF"/>
              <w:bottom w:val="single" w:sz="12" w:space="0" w:color="FFFFFF"/>
              <w:right w:val="single" w:sz="4" w:space="0" w:color="FFFFFF"/>
            </w:tcBorders>
            <w:shd w:val="clear" w:color="C0504D" w:fill="C0504D"/>
            <w:noWrap/>
            <w:vAlign w:val="center"/>
          </w:tcPr>
          <w:p w14:paraId="7D13B94C" w14:textId="77777777" w:rsidR="00EF4BEC" w:rsidRDefault="00EF4BEC">
            <w:pPr>
              <w:rPr>
                <w:rFonts w:cs="Arial"/>
              </w:rPr>
            </w:pPr>
          </w:p>
        </w:tc>
        <w:tc>
          <w:tcPr>
            <w:tcW w:w="90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78B88387" w14:textId="77777777" w:rsidR="00EF4BEC" w:rsidRDefault="009E2ACD">
            <w:pPr>
              <w:rPr>
                <w:rFonts w:cs="Arial"/>
              </w:rPr>
            </w:pPr>
            <w:r>
              <w:rPr>
                <w:rFonts w:cs="Arial"/>
              </w:rPr>
              <w:t>1</w:t>
            </w:r>
          </w:p>
        </w:tc>
        <w:tc>
          <w:tcPr>
            <w:tcW w:w="67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599ADA09" w14:textId="77777777" w:rsidR="00EF4BEC" w:rsidRDefault="009E2ACD">
            <w:pPr>
              <w:rPr>
                <w:rFonts w:cs="Arial"/>
              </w:rPr>
            </w:pPr>
            <w:r>
              <w:rPr>
                <w:rFonts w:cs="Arial"/>
              </w:rPr>
              <w:t>2</w:t>
            </w:r>
          </w:p>
        </w:tc>
        <w:tc>
          <w:tcPr>
            <w:tcW w:w="68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24AB7F30" w14:textId="77777777" w:rsidR="00EF4BEC" w:rsidRDefault="009E2ACD">
            <w:pPr>
              <w:rPr>
                <w:rFonts w:cs="Arial"/>
              </w:rPr>
            </w:pPr>
            <w:r>
              <w:rPr>
                <w:rFonts w:cs="Arial"/>
              </w:rPr>
              <w:t>3</w:t>
            </w:r>
          </w:p>
        </w:tc>
        <w:tc>
          <w:tcPr>
            <w:tcW w:w="66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623B07D6" w14:textId="77777777" w:rsidR="00EF4BEC" w:rsidRDefault="009E2ACD">
            <w:pPr>
              <w:rPr>
                <w:rFonts w:cs="Arial"/>
              </w:rPr>
            </w:pPr>
            <w:r>
              <w:rPr>
                <w:rFonts w:cs="Arial"/>
              </w:rPr>
              <w:t>4</w:t>
            </w:r>
          </w:p>
        </w:tc>
        <w:tc>
          <w:tcPr>
            <w:tcW w:w="67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0DA88DD0" w14:textId="77777777" w:rsidR="00EF4BEC" w:rsidRDefault="009E2ACD">
            <w:pPr>
              <w:rPr>
                <w:rFonts w:cs="Arial"/>
              </w:rPr>
            </w:pPr>
            <w:r>
              <w:rPr>
                <w:rFonts w:cs="Arial"/>
              </w:rPr>
              <w:t>5</w:t>
            </w:r>
          </w:p>
        </w:tc>
        <w:tc>
          <w:tcPr>
            <w:tcW w:w="66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16551BB6" w14:textId="77777777" w:rsidR="00EF4BEC" w:rsidRDefault="009E2ACD">
            <w:pPr>
              <w:rPr>
                <w:rFonts w:cs="Arial"/>
              </w:rPr>
            </w:pPr>
            <w:r>
              <w:rPr>
                <w:rFonts w:cs="Arial"/>
              </w:rPr>
              <w:t>6</w:t>
            </w:r>
          </w:p>
        </w:tc>
        <w:tc>
          <w:tcPr>
            <w:tcW w:w="70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5A14E2F7" w14:textId="77777777" w:rsidR="00EF4BEC" w:rsidRDefault="009E2ACD">
            <w:pPr>
              <w:rPr>
                <w:rFonts w:cs="Arial"/>
              </w:rPr>
            </w:pPr>
            <w:r>
              <w:rPr>
                <w:rFonts w:cs="Arial"/>
              </w:rPr>
              <w:t>7</w:t>
            </w:r>
          </w:p>
        </w:tc>
        <w:tc>
          <w:tcPr>
            <w:tcW w:w="660" w:type="dxa"/>
            <w:tcBorders>
              <w:top w:val="none" w:sz="4" w:space="0" w:color="000000"/>
              <w:left w:val="single" w:sz="4" w:space="0" w:color="FFFFFF"/>
              <w:bottom w:val="single" w:sz="12" w:space="0" w:color="FFFFFF"/>
              <w:right w:val="none" w:sz="4" w:space="0" w:color="000000"/>
            </w:tcBorders>
            <w:shd w:val="clear" w:color="C0504D" w:fill="C0504D"/>
            <w:noWrap/>
            <w:vAlign w:val="center"/>
          </w:tcPr>
          <w:p w14:paraId="6E54135E" w14:textId="77777777" w:rsidR="00EF4BEC" w:rsidRDefault="009E2ACD">
            <w:pPr>
              <w:rPr>
                <w:rFonts w:cs="Arial"/>
              </w:rPr>
            </w:pPr>
            <w:r>
              <w:rPr>
                <w:rFonts w:cs="Arial"/>
              </w:rPr>
              <w:t>8</w:t>
            </w:r>
          </w:p>
        </w:tc>
        <w:tc>
          <w:tcPr>
            <w:tcW w:w="680" w:type="dxa"/>
            <w:tcBorders>
              <w:top w:val="none" w:sz="4" w:space="0" w:color="000000"/>
              <w:left w:val="single" w:sz="4" w:space="0" w:color="FFFFFF"/>
              <w:bottom w:val="single" w:sz="12" w:space="0" w:color="FFFFFF"/>
              <w:right w:val="none" w:sz="4" w:space="0" w:color="000000"/>
            </w:tcBorders>
            <w:shd w:val="clear" w:color="C0504D" w:fill="C0504D"/>
            <w:noWrap/>
            <w:vAlign w:val="center"/>
          </w:tcPr>
          <w:p w14:paraId="2A77DDBC" w14:textId="77777777" w:rsidR="00EF4BEC" w:rsidRDefault="009E2ACD">
            <w:pPr>
              <w:rPr>
                <w:rFonts w:cs="Arial"/>
              </w:rPr>
            </w:pPr>
            <w:r>
              <w:rPr>
                <w:rFonts w:cs="Arial"/>
              </w:rPr>
              <w:t>9</w:t>
            </w:r>
          </w:p>
        </w:tc>
        <w:tc>
          <w:tcPr>
            <w:tcW w:w="661"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53822E04" w14:textId="77777777" w:rsidR="00EF4BEC" w:rsidRDefault="009E2ACD">
            <w:pPr>
              <w:rPr>
                <w:rFonts w:cs="Arial"/>
              </w:rPr>
            </w:pPr>
            <w:r>
              <w:rPr>
                <w:rFonts w:cs="Arial"/>
              </w:rPr>
              <w:t>10</w:t>
            </w:r>
          </w:p>
        </w:tc>
        <w:tc>
          <w:tcPr>
            <w:tcW w:w="651"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442C3C8C" w14:textId="77777777" w:rsidR="00EF4BEC" w:rsidRDefault="009E2ACD">
            <w:pPr>
              <w:rPr>
                <w:rFonts w:cs="Arial"/>
              </w:rPr>
            </w:pPr>
            <w:r>
              <w:rPr>
                <w:rFonts w:cs="Arial"/>
              </w:rPr>
              <w:t>11</w:t>
            </w:r>
          </w:p>
        </w:tc>
        <w:tc>
          <w:tcPr>
            <w:tcW w:w="734"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701BB2AE" w14:textId="77777777" w:rsidR="00EF4BEC" w:rsidRDefault="009E2ACD">
            <w:pPr>
              <w:rPr>
                <w:rFonts w:cs="Arial"/>
              </w:rPr>
            </w:pPr>
            <w:r>
              <w:rPr>
                <w:rFonts w:cs="Arial"/>
              </w:rPr>
              <w:t>12</w:t>
            </w:r>
          </w:p>
        </w:tc>
        <w:tc>
          <w:tcPr>
            <w:tcW w:w="709"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71A2A5A9" w14:textId="77777777" w:rsidR="00EF4BEC" w:rsidRDefault="009E2ACD">
            <w:pPr>
              <w:rPr>
                <w:rFonts w:cs="Arial"/>
              </w:rPr>
            </w:pPr>
            <w:r>
              <w:rPr>
                <w:rFonts w:cs="Arial"/>
              </w:rPr>
              <w:t>Totale</w:t>
            </w:r>
          </w:p>
        </w:tc>
      </w:tr>
      <w:tr w:rsidR="00EF4BEC" w14:paraId="2825C7FA" w14:textId="77777777">
        <w:trPr>
          <w:trHeight w:val="565"/>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0B5D2794" w14:textId="77777777" w:rsidR="00EF4BEC" w:rsidRDefault="009E2ACD">
            <w:pPr>
              <w:rPr>
                <w:rFonts w:cs="Arial"/>
              </w:rPr>
            </w:pPr>
            <w:r>
              <w:rPr>
                <w:rFonts w:cs="Arial"/>
              </w:rPr>
              <w:t>001</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FC4220C" w14:textId="77777777" w:rsidR="00EF4BEC" w:rsidRDefault="009E2ACD">
            <w:pPr>
              <w:rPr>
                <w:rFonts w:cs="Arial"/>
              </w:rPr>
            </w:pPr>
            <w:r>
              <w:rPr>
                <w:rFonts w:cs="Arial"/>
              </w:rPr>
              <w:t>ABO$</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25AF28F" w14:textId="77777777" w:rsidR="00EF4BEC" w:rsidRDefault="009E2ACD">
            <w:pPr>
              <w:rPr>
                <w:rFonts w:cs="Arial"/>
              </w:rPr>
            </w:pPr>
            <w:r>
              <w:rPr>
                <w:rFonts w:cs="Arial"/>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6184DBD" w14:textId="77777777" w:rsidR="00EF4BEC" w:rsidRDefault="009E2ACD">
            <w:pPr>
              <w:rPr>
                <w:rFonts w:cs="Arial"/>
              </w:rPr>
            </w:pPr>
            <w:r>
              <w:rPr>
                <w:rFonts w:cs="Arial"/>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D6B13D2" w14:textId="77777777" w:rsidR="00EF4BEC" w:rsidRDefault="009E2ACD">
            <w:pPr>
              <w:rPr>
                <w:rFonts w:cs="Arial"/>
              </w:rPr>
            </w:pPr>
            <w:r>
              <w:rPr>
                <w:rFonts w:cs="Arial"/>
              </w:rPr>
              <w:t>A,B</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FE40FB1" w14:textId="77777777" w:rsidR="00EF4BEC" w:rsidRDefault="009E2ACD">
            <w:pPr>
              <w:rPr>
                <w:rFonts w:cs="Arial"/>
              </w:rPr>
            </w:pPr>
            <w:r>
              <w:rPr>
                <w:rFonts w:cs="Arial"/>
              </w:rPr>
              <w:t>A1</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B3AE02D" w14:textId="77777777" w:rsidR="00EF4BEC" w:rsidRDefault="009E2ACD">
            <w:pPr>
              <w:rPr>
                <w:rFonts w:cs="Arial"/>
              </w:rPr>
            </w:pPr>
            <w:r>
              <w:rPr>
                <w:rFonts w:cs="Arial"/>
              </w:rPr>
              <w:t>…</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CB70740" w14:textId="77777777" w:rsidR="00EF4BEC" w:rsidRDefault="00EF4BEC">
            <w:pPr>
              <w:rPr>
                <w:rFonts w:cs="Arial"/>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49DE11E" w14:textId="77777777" w:rsidR="00EF4BEC" w:rsidRDefault="00EF4BEC">
            <w:pPr>
              <w:rPr>
                <w:rFonts w:cs="Arial"/>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7D1FE96" w14:textId="77777777" w:rsidR="00EF4BEC" w:rsidRDefault="00EF4BEC">
            <w:pPr>
              <w:rPr>
                <w:rFonts w:cs="Arial"/>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0E208D4C" w14:textId="77777777" w:rsidR="00EF4BEC" w:rsidRDefault="00EF4BEC">
            <w:pPr>
              <w:rPr>
                <w:rFonts w:cs="Arial"/>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1D9570E" w14:textId="77777777" w:rsidR="00EF4BEC" w:rsidRDefault="00EF4BEC">
            <w:pPr>
              <w:rPr>
                <w:rFonts w:cs="Arial"/>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59ED81A3" w14:textId="77777777" w:rsidR="00EF4BEC" w:rsidRDefault="00EF4BEC">
            <w:pPr>
              <w:rPr>
                <w:rFonts w:cs="Arial"/>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079323FC" w14:textId="77777777" w:rsidR="00EF4BEC" w:rsidRDefault="00EF4BEC">
            <w:pPr>
              <w:rPr>
                <w:rFonts w:cs="Arial"/>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2D81EE3" w14:textId="77777777" w:rsidR="00EF4BEC" w:rsidRDefault="009E2ACD">
            <w:pPr>
              <w:rPr>
                <w:rFonts w:cs="Arial"/>
              </w:rPr>
            </w:pPr>
            <w:r>
              <w:rPr>
                <w:rFonts w:cs="Arial"/>
              </w:rPr>
              <w:t>4</w:t>
            </w:r>
          </w:p>
        </w:tc>
      </w:tr>
      <w:tr w:rsidR="00EF4BEC" w14:paraId="34AE6F6B" w14:textId="77777777">
        <w:trPr>
          <w:trHeight w:val="579"/>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4C758FAC" w14:textId="77777777" w:rsidR="00EF4BEC" w:rsidRDefault="009E2ACD">
            <w:pPr>
              <w:rPr>
                <w:rFonts w:cs="Arial"/>
              </w:rPr>
            </w:pPr>
            <w:r>
              <w:rPr>
                <w:rFonts w:cs="Arial"/>
              </w:rPr>
              <w:t>002</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51588C2" w14:textId="77777777" w:rsidR="00EF4BEC" w:rsidRDefault="009E2ACD">
            <w:pPr>
              <w:rPr>
                <w:rFonts w:cs="Arial"/>
              </w:rPr>
            </w:pPr>
            <w:r>
              <w:rPr>
                <w:rFonts w:cs="Arial"/>
              </w:rPr>
              <w:t>MNS</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62C5B0F" w14:textId="77777777" w:rsidR="00EF4BEC" w:rsidRDefault="009E2ACD">
            <w:pPr>
              <w:rPr>
                <w:rFonts w:cs="Arial"/>
              </w:rPr>
            </w:pPr>
            <w:r>
              <w:rPr>
                <w:rFonts w:cs="Arial"/>
              </w:rPr>
              <w:t>M</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EAE2D75" w14:textId="77777777" w:rsidR="00EF4BEC" w:rsidRDefault="009E2ACD">
            <w:pPr>
              <w:rPr>
                <w:rFonts w:cs="Arial"/>
              </w:rPr>
            </w:pPr>
            <w:r>
              <w:rPr>
                <w:rFonts w:cs="Arial"/>
              </w:rPr>
              <w:t>N</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B12C7A1" w14:textId="77777777" w:rsidR="00EF4BEC" w:rsidRDefault="009E2ACD">
            <w:pPr>
              <w:rPr>
                <w:rFonts w:cs="Arial"/>
              </w:rPr>
            </w:pPr>
            <w:r>
              <w:rPr>
                <w:rFonts w:cs="Arial"/>
              </w:rPr>
              <w:t>S</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A815B6E" w14:textId="77777777" w:rsidR="00EF4BEC" w:rsidRDefault="009E2ACD">
            <w:pPr>
              <w:rPr>
                <w:rFonts w:cs="Arial"/>
              </w:rPr>
            </w:pPr>
            <w:r>
              <w:rPr>
                <w:rFonts w:cs="Arial"/>
              </w:rPr>
              <w:t>s</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F9D7309" w14:textId="77777777" w:rsidR="00EF4BEC" w:rsidRDefault="009E2ACD">
            <w:pPr>
              <w:rPr>
                <w:rFonts w:cs="Arial"/>
              </w:rPr>
            </w:pPr>
            <w:r>
              <w:rPr>
                <w:rFonts w:cs="Arial"/>
              </w:rPr>
              <w:t>U</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65305A5" w14:textId="77777777" w:rsidR="00EF4BEC" w:rsidRDefault="009E2ACD">
            <w:pPr>
              <w:rPr>
                <w:rFonts w:cs="Arial"/>
              </w:rPr>
            </w:pPr>
            <w:r>
              <w:rPr>
                <w:rFonts w:cs="Arial"/>
              </w:rPr>
              <w:t>He</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A0C81EE" w14:textId="77777777" w:rsidR="00EF4BEC" w:rsidRDefault="009E2ACD">
            <w:pPr>
              <w:rPr>
                <w:rFonts w:cs="Arial"/>
              </w:rPr>
            </w:pPr>
            <w:r>
              <w:rPr>
                <w:rFonts w:cs="Arial"/>
              </w:rPr>
              <w:t>Mia</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6CE14C05" w14:textId="77777777" w:rsidR="00EF4BEC" w:rsidRDefault="009E2ACD">
            <w:pPr>
              <w:rPr>
                <w:rFonts w:cs="Arial"/>
              </w:rPr>
            </w:pPr>
            <w:r>
              <w:rPr>
                <w:rFonts w:cs="Arial"/>
              </w:rPr>
              <w:t>Mc</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1A2E3D60" w14:textId="77777777" w:rsidR="00EF4BEC" w:rsidRDefault="009E2ACD">
            <w:pPr>
              <w:rPr>
                <w:rFonts w:cs="Arial"/>
              </w:rPr>
            </w:pPr>
            <w:r>
              <w:rPr>
                <w:rFonts w:cs="Arial"/>
              </w:rPr>
              <w:t>Vw</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AF55287" w14:textId="77777777" w:rsidR="00EF4BEC" w:rsidRDefault="009E2ACD">
            <w:pPr>
              <w:rPr>
                <w:rFonts w:cs="Arial"/>
              </w:rPr>
            </w:pPr>
            <w:r>
              <w:rPr>
                <w:rFonts w:cs="Arial"/>
              </w:rPr>
              <w:t>Mur</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06C1043" w14:textId="77777777" w:rsidR="00EF4BEC" w:rsidRDefault="009E2ACD">
            <w:pPr>
              <w:rPr>
                <w:rFonts w:cs="Arial"/>
              </w:rPr>
            </w:pPr>
            <w:r>
              <w:rPr>
                <w:rFonts w:cs="Arial"/>
              </w:rPr>
              <w:t>Mg</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CB8A0B3" w14:textId="77777777" w:rsidR="00EF4BEC" w:rsidRDefault="009E2ACD">
            <w:pPr>
              <w:rPr>
                <w:rFonts w:cs="Arial"/>
              </w:rPr>
            </w:pPr>
            <w:r>
              <w:rPr>
                <w:rFonts w:cs="Arial"/>
              </w:rPr>
              <w:t>Vr</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11F9BC03" w14:textId="77777777" w:rsidR="00EF4BEC" w:rsidRDefault="009E2ACD">
            <w:pPr>
              <w:rPr>
                <w:rFonts w:cs="Arial"/>
              </w:rPr>
            </w:pPr>
            <w:r>
              <w:rPr>
                <w:rFonts w:cs="Arial"/>
              </w:rPr>
              <w:t>50</w:t>
            </w:r>
          </w:p>
        </w:tc>
      </w:tr>
      <w:tr w:rsidR="00EF4BEC" w14:paraId="1D6F3665" w14:textId="77777777">
        <w:trPr>
          <w:trHeight w:val="44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22F53BC8" w14:textId="77777777" w:rsidR="00EF4BEC" w:rsidRDefault="009E2ACD">
            <w:pPr>
              <w:rPr>
                <w:rFonts w:cs="Arial"/>
              </w:rPr>
            </w:pPr>
            <w:r>
              <w:rPr>
                <w:rFonts w:cs="Arial"/>
              </w:rPr>
              <w:t>003</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032E51" w14:textId="77777777" w:rsidR="00EF4BEC" w:rsidRDefault="009E2ACD">
            <w:pPr>
              <w:rPr>
                <w:rFonts w:cs="Arial"/>
              </w:rPr>
            </w:pPr>
            <w:r>
              <w:rPr>
                <w:rFonts w:cs="Arial"/>
              </w:rPr>
              <w:t>P1PK</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61497EA" w14:textId="77777777" w:rsidR="00EF4BEC" w:rsidRDefault="009E2ACD">
            <w:pPr>
              <w:rPr>
                <w:rFonts w:cs="Arial"/>
              </w:rPr>
            </w:pPr>
            <w:r>
              <w:rPr>
                <w:rFonts w:cs="Arial"/>
              </w:rPr>
              <w:t>P1</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F14D894" w14:textId="77777777" w:rsidR="00EF4BEC" w:rsidRDefault="009E2ACD">
            <w:pPr>
              <w:rPr>
                <w:rFonts w:cs="Arial"/>
              </w:rPr>
            </w:pPr>
            <w:r>
              <w:rPr>
                <w:rFonts w:cs="Arial"/>
              </w:rPr>
              <w:t>---</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DC5872D" w14:textId="77777777" w:rsidR="00EF4BEC" w:rsidRDefault="009E2ACD">
            <w:pPr>
              <w:rPr>
                <w:rFonts w:cs="Arial"/>
              </w:rPr>
            </w:pPr>
            <w:r>
              <w:rPr>
                <w:rFonts w:cs="Arial"/>
              </w:rPr>
              <w:t>pk</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DDF81EB" w14:textId="77777777" w:rsidR="00EF4BEC" w:rsidRDefault="009E2ACD">
            <w:pPr>
              <w:rPr>
                <w:rFonts w:cs="Arial"/>
              </w:rPr>
            </w:pPr>
            <w:r>
              <w:rPr>
                <w:rFonts w:cs="Arial"/>
              </w:rPr>
              <w:t>NOR</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287F388" w14:textId="77777777" w:rsidR="00EF4BEC" w:rsidRDefault="00EF4BEC">
            <w:pPr>
              <w:rPr>
                <w:rFonts w:cs="Arial"/>
              </w:rPr>
            </w:pP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4967642" w14:textId="77777777" w:rsidR="00EF4BEC" w:rsidRDefault="00EF4BEC">
            <w:pPr>
              <w:rPr>
                <w:rFonts w:cs="Arial"/>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B439140" w14:textId="77777777" w:rsidR="00EF4BEC" w:rsidRDefault="00EF4BEC">
            <w:pPr>
              <w:rPr>
                <w:rFonts w:cs="Arial"/>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2A2824D6" w14:textId="77777777" w:rsidR="00EF4BEC" w:rsidRDefault="00EF4BEC">
            <w:pPr>
              <w:rPr>
                <w:rFonts w:cs="Arial"/>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6119DE63" w14:textId="77777777" w:rsidR="00EF4BEC" w:rsidRDefault="00EF4BEC">
            <w:pPr>
              <w:rPr>
                <w:rFonts w:cs="Arial"/>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8756218" w14:textId="77777777" w:rsidR="00EF4BEC" w:rsidRDefault="00EF4BEC">
            <w:pPr>
              <w:rPr>
                <w:rFonts w:cs="Arial"/>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0A40FC4D" w14:textId="77777777" w:rsidR="00EF4BEC" w:rsidRDefault="00EF4BEC">
            <w:pPr>
              <w:rPr>
                <w:rFonts w:cs="Arial"/>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A1BD7AE" w14:textId="77777777" w:rsidR="00EF4BEC" w:rsidRDefault="00EF4BEC">
            <w:pPr>
              <w:rPr>
                <w:rFonts w:cs="Arial"/>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92E39E1" w14:textId="77777777" w:rsidR="00EF4BEC" w:rsidRDefault="009E2ACD">
            <w:pPr>
              <w:rPr>
                <w:rFonts w:cs="Arial"/>
              </w:rPr>
            </w:pPr>
            <w:r>
              <w:rPr>
                <w:rFonts w:cs="Arial"/>
              </w:rPr>
              <w:t>3</w:t>
            </w:r>
          </w:p>
        </w:tc>
      </w:tr>
      <w:tr w:rsidR="00EF4BEC" w14:paraId="445C4330" w14:textId="77777777">
        <w:trPr>
          <w:trHeight w:val="432"/>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4E86895F" w14:textId="77777777" w:rsidR="00EF4BEC" w:rsidRDefault="009E2ACD">
            <w:pPr>
              <w:rPr>
                <w:rFonts w:cs="Arial"/>
              </w:rPr>
            </w:pPr>
            <w:r>
              <w:rPr>
                <w:rFonts w:cs="Arial"/>
              </w:rPr>
              <w:t>004</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A50E2B2" w14:textId="77777777" w:rsidR="00EF4BEC" w:rsidRDefault="009E2ACD">
            <w:pPr>
              <w:rPr>
                <w:rFonts w:cs="Arial"/>
              </w:rPr>
            </w:pPr>
            <w:r>
              <w:rPr>
                <w:rFonts w:cs="Arial"/>
              </w:rPr>
              <w:t>RH</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C1590B2" w14:textId="77777777" w:rsidR="00EF4BEC" w:rsidRDefault="009E2ACD">
            <w:pPr>
              <w:rPr>
                <w:rFonts w:cs="Arial"/>
              </w:rPr>
            </w:pPr>
            <w:r>
              <w:rPr>
                <w:rFonts w:cs="Arial"/>
              </w:rPr>
              <w:t>D</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25CC1D2" w14:textId="77777777" w:rsidR="00EF4BEC" w:rsidRDefault="009E2ACD">
            <w:pPr>
              <w:rPr>
                <w:rFonts w:cs="Arial"/>
              </w:rPr>
            </w:pPr>
            <w:r>
              <w:rPr>
                <w:rFonts w:cs="Arial"/>
              </w:rPr>
              <w:t>C</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B84883B" w14:textId="77777777" w:rsidR="00EF4BEC" w:rsidRDefault="009E2ACD">
            <w:pPr>
              <w:rPr>
                <w:rFonts w:cs="Arial"/>
              </w:rPr>
            </w:pPr>
            <w:r>
              <w:rPr>
                <w:rFonts w:cs="Arial"/>
              </w:rPr>
              <w:t>E</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66B0B56" w14:textId="77777777" w:rsidR="00EF4BEC" w:rsidRDefault="009E2ACD">
            <w:pPr>
              <w:rPr>
                <w:rFonts w:cs="Arial"/>
              </w:rPr>
            </w:pPr>
            <w:r>
              <w:rPr>
                <w:rFonts w:cs="Arial"/>
              </w:rPr>
              <w:t>c</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39EBC28" w14:textId="77777777" w:rsidR="00EF4BEC" w:rsidRDefault="009E2ACD">
            <w:pPr>
              <w:rPr>
                <w:rFonts w:cs="Arial"/>
              </w:rPr>
            </w:pPr>
            <w:r>
              <w:rPr>
                <w:rFonts w:cs="Arial"/>
              </w:rPr>
              <w:t>e</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BA5232C" w14:textId="77777777" w:rsidR="00EF4BEC" w:rsidRDefault="009E2ACD">
            <w:pPr>
              <w:rPr>
                <w:rFonts w:cs="Arial"/>
              </w:rPr>
            </w:pPr>
            <w:r>
              <w:rPr>
                <w:rFonts w:cs="Arial"/>
              </w:rPr>
              <w:t>f</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9432441" w14:textId="77777777" w:rsidR="00EF4BEC" w:rsidRDefault="009E2ACD">
            <w:pPr>
              <w:rPr>
                <w:rFonts w:cs="Arial"/>
              </w:rPr>
            </w:pPr>
            <w:r>
              <w:rPr>
                <w:rFonts w:cs="Arial"/>
              </w:rPr>
              <w:t>Ce</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2FD2A037" w14:textId="77777777" w:rsidR="00EF4BEC" w:rsidRDefault="009E2ACD">
            <w:pPr>
              <w:rPr>
                <w:rFonts w:cs="Arial"/>
              </w:rPr>
            </w:pPr>
            <w:r>
              <w:rPr>
                <w:rFonts w:cs="Arial"/>
              </w:rPr>
              <w:t>CW</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E592636" w14:textId="77777777" w:rsidR="00EF4BEC" w:rsidRDefault="009E2ACD">
            <w:pPr>
              <w:rPr>
                <w:rFonts w:cs="Arial"/>
              </w:rPr>
            </w:pPr>
            <w:r>
              <w:rPr>
                <w:rFonts w:cs="Arial"/>
              </w:rPr>
              <w:t>CX</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D1BC359" w14:textId="77777777" w:rsidR="00EF4BEC" w:rsidRDefault="009E2ACD">
            <w:pPr>
              <w:rPr>
                <w:rFonts w:cs="Arial"/>
              </w:rPr>
            </w:pPr>
            <w:r>
              <w:rPr>
                <w:rFonts w:cs="Arial"/>
              </w:rPr>
              <w:t>V</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2D223674" w14:textId="77777777" w:rsidR="00EF4BEC" w:rsidRDefault="009E2ACD">
            <w:pPr>
              <w:rPr>
                <w:rFonts w:cs="Arial"/>
              </w:rPr>
            </w:pPr>
            <w:r>
              <w:rPr>
                <w:rFonts w:cs="Arial"/>
              </w:rPr>
              <w:t>EW</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148FC334" w14:textId="77777777" w:rsidR="00EF4BEC" w:rsidRDefault="009E2ACD">
            <w:pPr>
              <w:rPr>
                <w:rFonts w:cs="Arial"/>
              </w:rPr>
            </w:pPr>
            <w:r>
              <w:rPr>
                <w:rFonts w:cs="Arial"/>
              </w:rPr>
              <w:t>G</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6A406B2B" w14:textId="77777777" w:rsidR="00EF4BEC" w:rsidRDefault="009E2ACD">
            <w:pPr>
              <w:rPr>
                <w:rFonts w:cs="Arial"/>
              </w:rPr>
            </w:pPr>
            <w:r>
              <w:rPr>
                <w:rFonts w:cs="Arial"/>
              </w:rPr>
              <w:t>55</w:t>
            </w:r>
          </w:p>
        </w:tc>
      </w:tr>
      <w:tr w:rsidR="00EF4BEC" w14:paraId="4AFFADB5" w14:textId="77777777">
        <w:trPr>
          <w:trHeight w:val="571"/>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228A57DD" w14:textId="77777777" w:rsidR="00EF4BEC" w:rsidRDefault="009E2ACD">
            <w:pPr>
              <w:rPr>
                <w:rFonts w:cs="Arial"/>
              </w:rPr>
            </w:pPr>
            <w:r>
              <w:rPr>
                <w:rFonts w:cs="Arial"/>
              </w:rPr>
              <w:t>005</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0598171" w14:textId="77777777" w:rsidR="00EF4BEC" w:rsidRDefault="009E2ACD">
            <w:pPr>
              <w:rPr>
                <w:rFonts w:cs="Arial"/>
              </w:rPr>
            </w:pPr>
            <w:r>
              <w:rPr>
                <w:rFonts w:cs="Arial"/>
              </w:rPr>
              <w:t>LU (Lutheran)</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4C7A2D1" w14:textId="77777777" w:rsidR="00EF4BEC" w:rsidRDefault="009E2ACD">
            <w:pPr>
              <w:rPr>
                <w:rFonts w:cs="Arial"/>
              </w:rPr>
            </w:pPr>
            <w:r>
              <w:rPr>
                <w:rFonts w:cs="Arial"/>
              </w:rPr>
              <w:t>Lua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9BE12CE" w14:textId="77777777" w:rsidR="00EF4BEC" w:rsidRDefault="009E2ACD">
            <w:pPr>
              <w:rPr>
                <w:rFonts w:cs="Arial"/>
              </w:rPr>
            </w:pPr>
            <w:r>
              <w:rPr>
                <w:rFonts w:cs="Arial"/>
              </w:rPr>
              <w:t>Lub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BE42B72" w14:textId="77777777" w:rsidR="00EF4BEC" w:rsidRDefault="009E2ACD">
            <w:pPr>
              <w:rPr>
                <w:rFonts w:cs="Arial"/>
              </w:rPr>
            </w:pPr>
            <w:r>
              <w:rPr>
                <w:rFonts w:cs="Arial"/>
              </w:rPr>
              <w:t>Lu3</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B63A09B" w14:textId="77777777" w:rsidR="00EF4BEC" w:rsidRDefault="009E2ACD">
            <w:pPr>
              <w:rPr>
                <w:rFonts w:cs="Arial"/>
              </w:rPr>
            </w:pPr>
            <w:r>
              <w:rPr>
                <w:rFonts w:cs="Arial"/>
              </w:rPr>
              <w:t>Lu4</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815659A" w14:textId="77777777" w:rsidR="00EF4BEC" w:rsidRDefault="009E2ACD">
            <w:pPr>
              <w:rPr>
                <w:rFonts w:cs="Arial"/>
              </w:rPr>
            </w:pPr>
            <w:r>
              <w:rPr>
                <w:rFonts w:cs="Arial"/>
              </w:rPr>
              <w:t>Lu5</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7E79233" w14:textId="77777777" w:rsidR="00EF4BEC" w:rsidRDefault="009E2ACD">
            <w:pPr>
              <w:rPr>
                <w:rFonts w:cs="Arial"/>
              </w:rPr>
            </w:pPr>
            <w:r>
              <w:rPr>
                <w:rFonts w:cs="Arial"/>
              </w:rPr>
              <w:t>Lu6</w:t>
            </w: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9E06C6A" w14:textId="77777777" w:rsidR="00EF4BEC" w:rsidRDefault="009E2ACD">
            <w:pPr>
              <w:rPr>
                <w:rFonts w:cs="Arial"/>
              </w:rPr>
            </w:pPr>
            <w:r>
              <w:rPr>
                <w:rFonts w:cs="Arial"/>
              </w:rPr>
              <w:t>Lu7</w:t>
            </w: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1AC200F" w14:textId="77777777" w:rsidR="00EF4BEC" w:rsidRDefault="009E2ACD">
            <w:pPr>
              <w:rPr>
                <w:rFonts w:cs="Arial"/>
              </w:rPr>
            </w:pPr>
            <w:r>
              <w:rPr>
                <w:rFonts w:cs="Arial"/>
              </w:rPr>
              <w:t>Lu8</w:t>
            </w: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356BB8A" w14:textId="77777777" w:rsidR="00EF4BEC" w:rsidRDefault="009E2ACD">
            <w:pPr>
              <w:rPr>
                <w:rFonts w:cs="Arial"/>
              </w:rPr>
            </w:pPr>
            <w:r>
              <w:rPr>
                <w:rFonts w:cs="Arial"/>
              </w:rPr>
              <w:t>Lu9</w:t>
            </w: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216559AD" w14:textId="77777777" w:rsidR="00EF4BEC" w:rsidRDefault="009E2ACD">
            <w:pPr>
              <w:rPr>
                <w:rFonts w:cs="Arial"/>
              </w:rPr>
            </w:pPr>
            <w:r>
              <w:rPr>
                <w:rFonts w:cs="Arial"/>
              </w:rPr>
              <w:t>…</w:t>
            </w: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482E12B2" w14:textId="77777777" w:rsidR="00EF4BEC" w:rsidRDefault="009E2ACD">
            <w:pPr>
              <w:rPr>
                <w:rFonts w:cs="Arial"/>
              </w:rPr>
            </w:pPr>
            <w:r>
              <w:rPr>
                <w:rFonts w:cs="Arial"/>
              </w:rPr>
              <w:t>Lu11</w:t>
            </w: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2A901021" w14:textId="77777777" w:rsidR="00EF4BEC" w:rsidRDefault="009E2ACD">
            <w:pPr>
              <w:rPr>
                <w:rFonts w:cs="Arial"/>
              </w:rPr>
            </w:pPr>
            <w:r>
              <w:rPr>
                <w:rFonts w:cs="Arial"/>
              </w:rPr>
              <w:t>Lu12</w:t>
            </w: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3C7972E" w14:textId="77777777" w:rsidR="00EF4BEC" w:rsidRDefault="009E2ACD">
            <w:pPr>
              <w:rPr>
                <w:rFonts w:cs="Arial"/>
              </w:rPr>
            </w:pPr>
            <w:r>
              <w:rPr>
                <w:rFonts w:cs="Arial"/>
              </w:rPr>
              <w:t>27</w:t>
            </w:r>
          </w:p>
        </w:tc>
      </w:tr>
      <w:tr w:rsidR="00EF4BEC" w14:paraId="0B901DC1" w14:textId="77777777">
        <w:trPr>
          <w:trHeight w:val="446"/>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4DB7C51B" w14:textId="77777777" w:rsidR="00EF4BEC" w:rsidRDefault="009E2ACD">
            <w:pPr>
              <w:rPr>
                <w:rFonts w:cs="Arial"/>
              </w:rPr>
            </w:pPr>
            <w:r>
              <w:rPr>
                <w:rFonts w:cs="Arial"/>
              </w:rPr>
              <w:t>006</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E117A2C" w14:textId="77777777" w:rsidR="00EF4BEC" w:rsidRDefault="009E2ACD">
            <w:pPr>
              <w:rPr>
                <w:rFonts w:cs="Arial"/>
              </w:rPr>
            </w:pPr>
            <w:r>
              <w:rPr>
                <w:rFonts w:cs="Arial"/>
              </w:rPr>
              <w:t>KEL (Kell)</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F88A9E7" w14:textId="77777777" w:rsidR="00EF4BEC" w:rsidRDefault="009E2ACD">
            <w:pPr>
              <w:rPr>
                <w:rFonts w:cs="Arial"/>
              </w:rPr>
            </w:pPr>
            <w:r>
              <w:rPr>
                <w:rFonts w:cs="Arial"/>
              </w:rPr>
              <w:t>K</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8EAB412" w14:textId="77777777" w:rsidR="00EF4BEC" w:rsidRDefault="009E2ACD">
            <w:pPr>
              <w:rPr>
                <w:rFonts w:cs="Arial"/>
              </w:rPr>
            </w:pPr>
            <w:r>
              <w:rPr>
                <w:rFonts w:cs="Arial"/>
              </w:rPr>
              <w:t>k</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F0AF65F" w14:textId="77777777" w:rsidR="00EF4BEC" w:rsidRDefault="009E2ACD">
            <w:pPr>
              <w:rPr>
                <w:rFonts w:cs="Arial"/>
              </w:rPr>
            </w:pPr>
            <w:r>
              <w:rPr>
                <w:rFonts w:cs="Arial"/>
              </w:rPr>
              <w:t>Kpa</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29A8091" w14:textId="77777777" w:rsidR="00EF4BEC" w:rsidRDefault="009E2ACD">
            <w:pPr>
              <w:rPr>
                <w:rFonts w:cs="Arial"/>
              </w:rPr>
            </w:pPr>
            <w:r>
              <w:rPr>
                <w:rFonts w:cs="Arial"/>
              </w:rPr>
              <w:t>Kpb</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C42FD4A" w14:textId="77777777" w:rsidR="00EF4BEC" w:rsidRDefault="009E2ACD">
            <w:pPr>
              <w:rPr>
                <w:rFonts w:cs="Arial"/>
              </w:rPr>
            </w:pPr>
            <w:r>
              <w:rPr>
                <w:rFonts w:cs="Arial"/>
              </w:rPr>
              <w:t>Ku</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0FBC5B7" w14:textId="77777777" w:rsidR="00EF4BEC" w:rsidRDefault="009E2ACD">
            <w:pPr>
              <w:rPr>
                <w:rFonts w:cs="Arial"/>
              </w:rPr>
            </w:pPr>
            <w:r>
              <w:rPr>
                <w:rFonts w:cs="Arial"/>
              </w:rPr>
              <w:t>Jsa</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5DCE268" w14:textId="77777777" w:rsidR="00EF4BEC" w:rsidRDefault="009E2ACD">
            <w:pPr>
              <w:rPr>
                <w:rFonts w:cs="Arial"/>
              </w:rPr>
            </w:pPr>
            <w:r>
              <w:rPr>
                <w:rFonts w:cs="Arial"/>
              </w:rPr>
              <w:t>Jsb</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65E6A352" w14:textId="77777777" w:rsidR="00EF4BEC" w:rsidRDefault="009E2ACD">
            <w:pPr>
              <w:rPr>
                <w:rFonts w:cs="Arial"/>
              </w:rPr>
            </w:pPr>
            <w:r>
              <w:rPr>
                <w:rFonts w:cs="Arial"/>
              </w:rPr>
              <w:t>…</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5C145E13" w14:textId="77777777" w:rsidR="00EF4BEC" w:rsidRDefault="009E2ACD">
            <w:pPr>
              <w:rPr>
                <w:rFonts w:cs="Arial"/>
              </w:rPr>
            </w:pPr>
            <w:r>
              <w:rPr>
                <w:rFonts w:cs="Arial"/>
              </w:rPr>
              <w:t>…</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1469DE37" w14:textId="77777777" w:rsidR="00EF4BEC" w:rsidRDefault="009E2ACD">
            <w:pPr>
              <w:rPr>
                <w:rFonts w:cs="Arial"/>
              </w:rPr>
            </w:pPr>
            <w:r>
              <w:rPr>
                <w:rFonts w:cs="Arial"/>
              </w:rPr>
              <w:t>UIa</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C7E9941" w14:textId="77777777" w:rsidR="00EF4BEC" w:rsidRDefault="009E2ACD">
            <w:pPr>
              <w:rPr>
                <w:rFonts w:cs="Arial"/>
              </w:rPr>
            </w:pPr>
            <w:r>
              <w:rPr>
                <w:rFonts w:cs="Arial"/>
              </w:rPr>
              <w:t>K11</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5FCA3212" w14:textId="77777777" w:rsidR="00EF4BEC" w:rsidRDefault="009E2ACD">
            <w:pPr>
              <w:rPr>
                <w:rFonts w:cs="Arial"/>
              </w:rPr>
            </w:pPr>
            <w:r>
              <w:rPr>
                <w:rFonts w:cs="Arial"/>
              </w:rPr>
              <w:t>K12</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6AEFC61C" w14:textId="77777777" w:rsidR="00EF4BEC" w:rsidRDefault="009E2ACD">
            <w:pPr>
              <w:rPr>
                <w:rFonts w:cs="Arial"/>
              </w:rPr>
            </w:pPr>
            <w:r>
              <w:rPr>
                <w:rFonts w:cs="Arial"/>
              </w:rPr>
              <w:t>36</w:t>
            </w:r>
          </w:p>
        </w:tc>
      </w:tr>
      <w:tr w:rsidR="00EF4BEC" w14:paraId="1C258231" w14:textId="77777777">
        <w:trPr>
          <w:trHeight w:val="439"/>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2D23913" w14:textId="77777777" w:rsidR="00EF4BEC" w:rsidRDefault="009E2ACD">
            <w:pPr>
              <w:rPr>
                <w:rFonts w:cs="Arial"/>
              </w:rPr>
            </w:pPr>
            <w:r>
              <w:rPr>
                <w:rFonts w:cs="Arial"/>
              </w:rPr>
              <w:t>007</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5E45E13" w14:textId="77777777" w:rsidR="00EF4BEC" w:rsidRDefault="009E2ACD">
            <w:pPr>
              <w:rPr>
                <w:rFonts w:cs="Arial"/>
              </w:rPr>
            </w:pPr>
            <w:r>
              <w:rPr>
                <w:rFonts w:cs="Arial"/>
              </w:rPr>
              <w:t>LE (Lewis)</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4F9E660" w14:textId="77777777" w:rsidR="00EF4BEC" w:rsidRDefault="009E2ACD">
            <w:pPr>
              <w:rPr>
                <w:rFonts w:cs="Arial"/>
              </w:rPr>
            </w:pPr>
            <w:r>
              <w:rPr>
                <w:rFonts w:cs="Arial"/>
              </w:rPr>
              <w:t>Lea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207EB28" w14:textId="77777777" w:rsidR="00EF4BEC" w:rsidRDefault="009E2ACD">
            <w:pPr>
              <w:rPr>
                <w:rFonts w:cs="Arial"/>
              </w:rPr>
            </w:pPr>
            <w:r>
              <w:rPr>
                <w:rFonts w:cs="Arial"/>
              </w:rPr>
              <w:t>Leb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4D54827" w14:textId="77777777" w:rsidR="00EF4BEC" w:rsidRDefault="009E2ACD">
            <w:pPr>
              <w:rPr>
                <w:rFonts w:cs="Arial"/>
              </w:rPr>
            </w:pPr>
            <w:r>
              <w:rPr>
                <w:rFonts w:cs="Arial"/>
              </w:rPr>
              <w:t>Leab</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53DEC36" w14:textId="77777777" w:rsidR="00EF4BEC" w:rsidRDefault="009E2ACD">
            <w:pPr>
              <w:rPr>
                <w:rFonts w:cs="Arial"/>
              </w:rPr>
            </w:pPr>
            <w:r>
              <w:rPr>
                <w:rFonts w:cs="Arial"/>
              </w:rPr>
              <w:t>LebH</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139BD0FA" w14:textId="77777777" w:rsidR="00EF4BEC" w:rsidRDefault="009E2ACD">
            <w:pPr>
              <w:rPr>
                <w:rFonts w:cs="Arial"/>
              </w:rPr>
            </w:pPr>
            <w:r>
              <w:rPr>
                <w:rFonts w:cs="Arial"/>
              </w:rPr>
              <w:t>ALeb</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BACB5E0" w14:textId="77777777" w:rsidR="00EF4BEC" w:rsidRDefault="009E2ACD">
            <w:pPr>
              <w:rPr>
                <w:rFonts w:cs="Arial"/>
              </w:rPr>
            </w:pPr>
            <w:r>
              <w:rPr>
                <w:rFonts w:cs="Arial"/>
              </w:rPr>
              <w:t>BLeb</w:t>
            </w: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BCA2EEA" w14:textId="77777777" w:rsidR="00EF4BEC" w:rsidRDefault="00EF4BEC">
            <w:pPr>
              <w:rPr>
                <w:rFonts w:cs="Arial"/>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667686FF" w14:textId="77777777" w:rsidR="00EF4BEC" w:rsidRDefault="00EF4BEC">
            <w:pPr>
              <w:rPr>
                <w:rFonts w:cs="Arial"/>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6C25C31E" w14:textId="77777777" w:rsidR="00EF4BEC" w:rsidRDefault="00EF4BEC">
            <w:pPr>
              <w:rPr>
                <w:rFonts w:cs="Arial"/>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FBB57F8" w14:textId="77777777" w:rsidR="00EF4BEC" w:rsidRDefault="00EF4BEC">
            <w:pPr>
              <w:rPr>
                <w:rFonts w:cs="Arial"/>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512AD1E2" w14:textId="77777777" w:rsidR="00EF4BEC" w:rsidRDefault="00EF4BEC">
            <w:pPr>
              <w:rPr>
                <w:rFonts w:cs="Arial"/>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2C2B0A0" w14:textId="77777777" w:rsidR="00EF4BEC" w:rsidRDefault="00EF4BEC">
            <w:pPr>
              <w:rPr>
                <w:rFonts w:cs="Arial"/>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1FEEF0D" w14:textId="77777777" w:rsidR="00EF4BEC" w:rsidRDefault="009E2ACD">
            <w:pPr>
              <w:rPr>
                <w:rFonts w:cs="Arial"/>
              </w:rPr>
            </w:pPr>
            <w:r>
              <w:rPr>
                <w:rFonts w:cs="Arial"/>
              </w:rPr>
              <w:t>6</w:t>
            </w:r>
          </w:p>
        </w:tc>
      </w:tr>
      <w:tr w:rsidR="00EF4BEC" w14:paraId="49EB0F3E" w14:textId="77777777">
        <w:trPr>
          <w:trHeight w:val="43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66005BAE" w14:textId="77777777" w:rsidR="00EF4BEC" w:rsidRDefault="009E2ACD">
            <w:pPr>
              <w:rPr>
                <w:rFonts w:cs="Arial"/>
              </w:rPr>
            </w:pPr>
            <w:r>
              <w:rPr>
                <w:rFonts w:cs="Arial"/>
              </w:rPr>
              <w:t>008</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6C9FFCC" w14:textId="77777777" w:rsidR="00EF4BEC" w:rsidRDefault="009E2ACD">
            <w:pPr>
              <w:rPr>
                <w:rFonts w:cs="Arial"/>
              </w:rPr>
            </w:pPr>
            <w:r>
              <w:rPr>
                <w:rFonts w:cs="Arial"/>
              </w:rPr>
              <w:t>FY (Duffy)</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E6709ED" w14:textId="77777777" w:rsidR="00EF4BEC" w:rsidRDefault="009E2ACD">
            <w:pPr>
              <w:rPr>
                <w:rFonts w:cs="Arial"/>
              </w:rPr>
            </w:pPr>
            <w:r>
              <w:rPr>
                <w:rFonts w:cs="Arial"/>
              </w:rPr>
              <w:t>Fya</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1F4BA9D" w14:textId="77777777" w:rsidR="00EF4BEC" w:rsidRDefault="009E2ACD">
            <w:pPr>
              <w:rPr>
                <w:rFonts w:cs="Arial"/>
              </w:rPr>
            </w:pPr>
            <w:r>
              <w:rPr>
                <w:rFonts w:cs="Arial"/>
              </w:rPr>
              <w:t>Fyb</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4A7FA11" w14:textId="77777777" w:rsidR="00EF4BEC" w:rsidRDefault="009E2ACD">
            <w:pPr>
              <w:rPr>
                <w:rFonts w:cs="Arial"/>
              </w:rPr>
            </w:pPr>
            <w:r>
              <w:rPr>
                <w:rFonts w:cs="Arial"/>
              </w:rPr>
              <w:t>Fy3</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B3140A2" w14:textId="77777777" w:rsidR="00EF4BEC" w:rsidRDefault="009E2ACD">
            <w:pPr>
              <w:rPr>
                <w:rFonts w:cs="Arial"/>
              </w:rPr>
            </w:pPr>
            <w:r>
              <w:rPr>
                <w:rFonts w:cs="Arial"/>
              </w:rPr>
              <w:t>…</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B895441" w14:textId="77777777" w:rsidR="00EF4BEC" w:rsidRDefault="009E2ACD">
            <w:pPr>
              <w:rPr>
                <w:rFonts w:cs="Arial"/>
              </w:rPr>
            </w:pPr>
            <w:r>
              <w:rPr>
                <w:rFonts w:cs="Arial"/>
              </w:rPr>
              <w:t>Fy5</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E720D70" w14:textId="77777777" w:rsidR="00EF4BEC" w:rsidRDefault="009E2ACD">
            <w:pPr>
              <w:rPr>
                <w:rFonts w:cs="Arial"/>
              </w:rPr>
            </w:pPr>
            <w:r>
              <w:rPr>
                <w:rFonts w:cs="Arial"/>
              </w:rPr>
              <w:t>Fy6</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87A7AFE" w14:textId="77777777" w:rsidR="00EF4BEC" w:rsidRDefault="00EF4BEC">
            <w:pPr>
              <w:rPr>
                <w:rFonts w:cs="Arial"/>
              </w:rPr>
            </w:pP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0DCD657A" w14:textId="77777777" w:rsidR="00EF4BEC" w:rsidRDefault="00EF4BEC">
            <w:pPr>
              <w:rPr>
                <w:rFonts w:cs="Arial"/>
              </w:rPr>
            </w:pP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1BBAAEE6" w14:textId="77777777" w:rsidR="00EF4BEC" w:rsidRDefault="00EF4BEC">
            <w:pPr>
              <w:rPr>
                <w:rFonts w:cs="Arial"/>
              </w:rPr>
            </w:pP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63D45C29" w14:textId="77777777" w:rsidR="00EF4BEC" w:rsidRDefault="00EF4BEC">
            <w:pPr>
              <w:rPr>
                <w:rFonts w:cs="Arial"/>
              </w:rPr>
            </w:pP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64E069FB" w14:textId="77777777" w:rsidR="00EF4BEC" w:rsidRDefault="00EF4BEC">
            <w:pPr>
              <w:rPr>
                <w:rFonts w:cs="Arial"/>
              </w:rPr>
            </w:pP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104EC144" w14:textId="77777777" w:rsidR="00EF4BEC" w:rsidRDefault="00EF4BEC">
            <w:pPr>
              <w:rPr>
                <w:rFonts w:cs="Arial"/>
              </w:rPr>
            </w:pP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8590394" w14:textId="77777777" w:rsidR="00EF4BEC" w:rsidRDefault="009E2ACD">
            <w:pPr>
              <w:rPr>
                <w:rFonts w:cs="Arial"/>
              </w:rPr>
            </w:pPr>
            <w:r>
              <w:rPr>
                <w:rFonts w:cs="Arial"/>
              </w:rPr>
              <w:t>5</w:t>
            </w:r>
          </w:p>
        </w:tc>
      </w:tr>
      <w:tr w:rsidR="00EF4BEC" w14:paraId="2E4A041E" w14:textId="77777777">
        <w:trPr>
          <w:trHeight w:val="421"/>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59B4AC7E" w14:textId="77777777" w:rsidR="00EF4BEC" w:rsidRDefault="009E2ACD">
            <w:pPr>
              <w:rPr>
                <w:rFonts w:cs="Arial"/>
              </w:rPr>
            </w:pPr>
            <w:r>
              <w:rPr>
                <w:rFonts w:cs="Arial"/>
              </w:rPr>
              <w:t>009</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34A37FE" w14:textId="77777777" w:rsidR="00EF4BEC" w:rsidRDefault="009E2ACD">
            <w:pPr>
              <w:rPr>
                <w:rFonts w:cs="Arial"/>
              </w:rPr>
            </w:pPr>
            <w:r>
              <w:rPr>
                <w:rFonts w:cs="Arial"/>
              </w:rPr>
              <w:t>JK (Kidd)</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152B30F" w14:textId="77777777" w:rsidR="00EF4BEC" w:rsidRDefault="009E2ACD">
            <w:pPr>
              <w:rPr>
                <w:rFonts w:cs="Arial"/>
              </w:rPr>
            </w:pPr>
            <w:r>
              <w:rPr>
                <w:rFonts w:cs="Arial"/>
              </w:rPr>
              <w:t>Jka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CAC3199" w14:textId="77777777" w:rsidR="00EF4BEC" w:rsidRDefault="009E2ACD">
            <w:pPr>
              <w:rPr>
                <w:rFonts w:cs="Arial"/>
              </w:rPr>
            </w:pPr>
            <w:r>
              <w:rPr>
                <w:rFonts w:cs="Arial"/>
              </w:rPr>
              <w:t>Jkb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4F7A1AF" w14:textId="77777777" w:rsidR="00EF4BEC" w:rsidRDefault="009E2ACD">
            <w:pPr>
              <w:rPr>
                <w:rFonts w:cs="Arial"/>
              </w:rPr>
            </w:pPr>
            <w:r>
              <w:rPr>
                <w:rFonts w:cs="Arial"/>
              </w:rPr>
              <w:t>Jk3</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B028E04" w14:textId="77777777" w:rsidR="00EF4BEC" w:rsidRDefault="00EF4BEC">
            <w:pPr>
              <w:rPr>
                <w:rFonts w:cs="Arial"/>
              </w:rPr>
            </w:pP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C0F0852" w14:textId="77777777" w:rsidR="00EF4BEC" w:rsidRDefault="00EF4BEC">
            <w:pPr>
              <w:rPr>
                <w:rFonts w:cs="Arial"/>
              </w:rPr>
            </w:pP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7BEF59A" w14:textId="77777777" w:rsidR="00EF4BEC" w:rsidRDefault="00EF4BEC">
            <w:pPr>
              <w:rPr>
                <w:rFonts w:cs="Arial"/>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3E0D72E" w14:textId="77777777" w:rsidR="00EF4BEC" w:rsidRDefault="00EF4BEC">
            <w:pPr>
              <w:rPr>
                <w:rFonts w:cs="Arial"/>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43ABEF6E" w14:textId="77777777" w:rsidR="00EF4BEC" w:rsidRDefault="00EF4BEC">
            <w:pPr>
              <w:rPr>
                <w:rFonts w:cs="Arial"/>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60D2222" w14:textId="77777777" w:rsidR="00EF4BEC" w:rsidRDefault="00EF4BEC">
            <w:pPr>
              <w:rPr>
                <w:rFonts w:cs="Arial"/>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30E33DA8" w14:textId="77777777" w:rsidR="00EF4BEC" w:rsidRDefault="00EF4BEC">
            <w:pPr>
              <w:rPr>
                <w:rFonts w:cs="Arial"/>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8C11E91" w14:textId="77777777" w:rsidR="00EF4BEC" w:rsidRDefault="00EF4BEC">
            <w:pPr>
              <w:rPr>
                <w:rFonts w:cs="Arial"/>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43BE4D8F" w14:textId="77777777" w:rsidR="00EF4BEC" w:rsidRDefault="00EF4BEC">
            <w:pPr>
              <w:rPr>
                <w:rFonts w:cs="Arial"/>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6B23938" w14:textId="77777777" w:rsidR="00EF4BEC" w:rsidRDefault="009E2ACD">
            <w:pPr>
              <w:rPr>
                <w:rFonts w:cs="Arial"/>
              </w:rPr>
            </w:pPr>
            <w:r>
              <w:rPr>
                <w:rFonts w:cs="Arial"/>
              </w:rPr>
              <w:t>3</w:t>
            </w:r>
          </w:p>
        </w:tc>
      </w:tr>
      <w:tr w:rsidR="00EF4BEC" w14:paraId="7EBFC2FD" w14:textId="77777777">
        <w:trPr>
          <w:trHeight w:val="28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688CC697" w14:textId="77777777" w:rsidR="00EF4BEC" w:rsidRDefault="009E2ACD">
            <w:pPr>
              <w:rPr>
                <w:rFonts w:cs="Arial"/>
              </w:rPr>
            </w:pPr>
            <w:r>
              <w:rPr>
                <w:rFonts w:cs="Arial"/>
              </w:rPr>
              <w:t>010</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BAB8AEF" w14:textId="77777777" w:rsidR="00EF4BEC" w:rsidRDefault="009E2ACD">
            <w:pPr>
              <w:rPr>
                <w:rFonts w:cs="Arial"/>
              </w:rPr>
            </w:pPr>
            <w:r>
              <w:rPr>
                <w:rFonts w:cs="Arial"/>
              </w:rPr>
              <w:t xml:space="preserve">DI (Diego) </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EFDEB3B" w14:textId="77777777" w:rsidR="00EF4BEC" w:rsidRDefault="009E2ACD">
            <w:pPr>
              <w:rPr>
                <w:rFonts w:cs="Arial"/>
              </w:rPr>
            </w:pPr>
            <w:r>
              <w:rPr>
                <w:rFonts w:cs="Arial"/>
              </w:rPr>
              <w:t>Dia</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E3632BD" w14:textId="77777777" w:rsidR="00EF4BEC" w:rsidRDefault="009E2ACD">
            <w:pPr>
              <w:rPr>
                <w:rFonts w:cs="Arial"/>
              </w:rPr>
            </w:pPr>
            <w:r>
              <w:rPr>
                <w:rFonts w:cs="Arial"/>
              </w:rPr>
              <w:t>Dib</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04563B0" w14:textId="77777777" w:rsidR="00EF4BEC" w:rsidRDefault="009E2ACD">
            <w:pPr>
              <w:rPr>
                <w:rFonts w:cs="Arial"/>
              </w:rPr>
            </w:pPr>
            <w:r>
              <w:rPr>
                <w:rFonts w:cs="Arial"/>
              </w:rPr>
              <w:t>Wra</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10E277C" w14:textId="77777777" w:rsidR="00EF4BEC" w:rsidRDefault="009E2ACD">
            <w:pPr>
              <w:rPr>
                <w:rFonts w:cs="Arial"/>
              </w:rPr>
            </w:pPr>
            <w:r>
              <w:rPr>
                <w:rFonts w:cs="Arial"/>
              </w:rPr>
              <w:t>Wrb</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70DA400" w14:textId="77777777" w:rsidR="00EF4BEC" w:rsidRDefault="009E2ACD">
            <w:pPr>
              <w:rPr>
                <w:rFonts w:cs="Arial"/>
              </w:rPr>
            </w:pPr>
            <w:r>
              <w:rPr>
                <w:rFonts w:cs="Arial"/>
              </w:rPr>
              <w:t>Wda</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15979D3" w14:textId="77777777" w:rsidR="00EF4BEC" w:rsidRDefault="009E2ACD">
            <w:pPr>
              <w:rPr>
                <w:rFonts w:cs="Arial"/>
              </w:rPr>
            </w:pPr>
            <w:r>
              <w:rPr>
                <w:rFonts w:cs="Arial"/>
              </w:rPr>
              <w:t>Rba</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0A38E17" w14:textId="77777777" w:rsidR="00EF4BEC" w:rsidRDefault="009E2ACD">
            <w:pPr>
              <w:rPr>
                <w:rFonts w:cs="Arial"/>
              </w:rPr>
            </w:pPr>
            <w:r>
              <w:rPr>
                <w:rFonts w:cs="Arial"/>
              </w:rPr>
              <w:t>WARR</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6D8EB456" w14:textId="77777777" w:rsidR="00EF4BEC" w:rsidRDefault="009E2ACD">
            <w:pPr>
              <w:rPr>
                <w:rFonts w:cs="Arial"/>
              </w:rPr>
            </w:pPr>
            <w:r>
              <w:rPr>
                <w:rFonts w:cs="Arial"/>
              </w:rPr>
              <w:t>ELO</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16A938FC" w14:textId="77777777" w:rsidR="00EF4BEC" w:rsidRDefault="009E2ACD">
            <w:pPr>
              <w:rPr>
                <w:rFonts w:cs="Arial"/>
              </w:rPr>
            </w:pPr>
            <w:r>
              <w:rPr>
                <w:rFonts w:cs="Arial"/>
              </w:rPr>
              <w:t>Wu</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4FBEB31" w14:textId="77777777" w:rsidR="00EF4BEC" w:rsidRDefault="009E2ACD">
            <w:pPr>
              <w:rPr>
                <w:rFonts w:cs="Arial"/>
              </w:rPr>
            </w:pPr>
            <w:r>
              <w:rPr>
                <w:rFonts w:cs="Arial"/>
              </w:rPr>
              <w:t>Bpa</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F7ABA39" w14:textId="77777777" w:rsidR="00EF4BEC" w:rsidRDefault="009E2ACD">
            <w:pPr>
              <w:rPr>
                <w:rFonts w:cs="Arial"/>
              </w:rPr>
            </w:pPr>
            <w:r>
              <w:rPr>
                <w:rFonts w:cs="Arial"/>
              </w:rPr>
              <w:t>Moa</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22470DA0" w14:textId="77777777" w:rsidR="00EF4BEC" w:rsidRDefault="009E2ACD">
            <w:pPr>
              <w:rPr>
                <w:rFonts w:cs="Arial"/>
              </w:rPr>
            </w:pPr>
            <w:r>
              <w:rPr>
                <w:rFonts w:cs="Arial"/>
              </w:rPr>
              <w:t>Hga</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1AE282C7" w14:textId="77777777" w:rsidR="00EF4BEC" w:rsidRDefault="009E2ACD">
            <w:pPr>
              <w:rPr>
                <w:rFonts w:cs="Arial"/>
              </w:rPr>
            </w:pPr>
            <w:r>
              <w:rPr>
                <w:rFonts w:cs="Arial"/>
              </w:rPr>
              <w:t>22</w:t>
            </w:r>
          </w:p>
        </w:tc>
      </w:tr>
    </w:tbl>
    <w:p w14:paraId="1DA854AE" w14:textId="77777777" w:rsidR="00EF4BEC" w:rsidRDefault="00EF4BEC">
      <w:pPr>
        <w:rPr>
          <w:rFonts w:cs="Arial"/>
        </w:rPr>
      </w:pPr>
    </w:p>
    <w:tbl>
      <w:tblPr>
        <w:tblpPr w:leftFromText="141" w:rightFromText="141" w:vertAnchor="page" w:horzAnchor="margin" w:tblpX="-993" w:tblpY="3316"/>
        <w:tblW w:w="11057" w:type="dxa"/>
        <w:tblLayout w:type="fixed"/>
        <w:tblCellMar>
          <w:left w:w="70" w:type="dxa"/>
          <w:right w:w="70" w:type="dxa"/>
        </w:tblCellMar>
        <w:tblLook w:val="04A0" w:firstRow="1" w:lastRow="0" w:firstColumn="1" w:lastColumn="0" w:noHBand="0" w:noVBand="1"/>
      </w:tblPr>
      <w:tblGrid>
        <w:gridCol w:w="611"/>
        <w:gridCol w:w="1407"/>
        <w:gridCol w:w="901"/>
        <w:gridCol w:w="671"/>
        <w:gridCol w:w="680"/>
        <w:gridCol w:w="661"/>
        <w:gridCol w:w="670"/>
        <w:gridCol w:w="661"/>
        <w:gridCol w:w="700"/>
        <w:gridCol w:w="660"/>
        <w:gridCol w:w="680"/>
        <w:gridCol w:w="661"/>
        <w:gridCol w:w="651"/>
        <w:gridCol w:w="734"/>
        <w:gridCol w:w="709"/>
      </w:tblGrid>
      <w:tr w:rsidR="00EF4BEC" w14:paraId="0F14B7A4" w14:textId="77777777">
        <w:trPr>
          <w:trHeight w:val="699"/>
        </w:trPr>
        <w:tc>
          <w:tcPr>
            <w:tcW w:w="611" w:type="dxa"/>
            <w:vMerge w:val="restart"/>
            <w:tcBorders>
              <w:top w:val="single" w:sz="8" w:space="0" w:color="000000"/>
              <w:left w:val="none" w:sz="4" w:space="0" w:color="000000"/>
              <w:right w:val="single" w:sz="4" w:space="0" w:color="FFFFFF"/>
            </w:tcBorders>
            <w:shd w:val="clear" w:color="4BACC6" w:fill="4BACC6"/>
            <w:noWrap/>
            <w:vAlign w:val="center"/>
          </w:tcPr>
          <w:p w14:paraId="5DC558EC" w14:textId="77777777" w:rsidR="00EF4BEC" w:rsidRDefault="009E2ACD">
            <w:pPr>
              <w:spacing w:line="240" w:lineRule="auto"/>
              <w:jc w:val="center"/>
              <w:rPr>
                <w:b/>
                <w:color w:val="FFFFFF"/>
                <w:sz w:val="18"/>
              </w:rPr>
            </w:pPr>
            <w:r>
              <w:rPr>
                <w:b/>
                <w:color w:val="FFFFFF"/>
                <w:sz w:val="18"/>
              </w:rPr>
              <w:t>N. ISBT</w:t>
            </w:r>
          </w:p>
        </w:tc>
        <w:tc>
          <w:tcPr>
            <w:tcW w:w="1407" w:type="dxa"/>
            <w:vMerge w:val="restart"/>
            <w:tcBorders>
              <w:top w:val="none" w:sz="4" w:space="0" w:color="000000"/>
              <w:left w:val="single" w:sz="4" w:space="0" w:color="FFFFFF"/>
              <w:right w:val="single" w:sz="4" w:space="0" w:color="FFFFFF"/>
            </w:tcBorders>
            <w:shd w:val="clear" w:color="C0504D" w:fill="C0504D"/>
            <w:noWrap/>
            <w:vAlign w:val="center"/>
          </w:tcPr>
          <w:p w14:paraId="76F13B09" w14:textId="77777777" w:rsidR="00EF4BEC" w:rsidRDefault="009E2ACD">
            <w:pPr>
              <w:spacing w:line="240" w:lineRule="auto"/>
              <w:jc w:val="center"/>
              <w:rPr>
                <w:b/>
                <w:color w:val="FFFFFF"/>
                <w:sz w:val="18"/>
              </w:rPr>
            </w:pPr>
            <w:r>
              <w:rPr>
                <w:b/>
                <w:color w:val="FFFFFF"/>
                <w:sz w:val="18"/>
              </w:rPr>
              <w:t>Sistema</w:t>
            </w:r>
          </w:p>
        </w:tc>
        <w:tc>
          <w:tcPr>
            <w:tcW w:w="9039" w:type="dxa"/>
            <w:gridSpan w:val="13"/>
            <w:tcBorders>
              <w:top w:val="none" w:sz="4" w:space="0" w:color="000000"/>
              <w:left w:val="single" w:sz="4" w:space="0" w:color="FFFFFF"/>
              <w:bottom w:val="single" w:sz="12" w:space="0" w:color="FFFFFF"/>
              <w:right w:val="none" w:sz="4" w:space="0" w:color="000000"/>
            </w:tcBorders>
            <w:shd w:val="clear" w:color="C0504D" w:fill="C0504D"/>
            <w:noWrap/>
            <w:vAlign w:val="center"/>
          </w:tcPr>
          <w:p w14:paraId="1F72B84A" w14:textId="77777777" w:rsidR="00EF4BEC" w:rsidRDefault="009E2ACD">
            <w:pPr>
              <w:spacing w:line="240" w:lineRule="auto"/>
              <w:jc w:val="center"/>
              <w:rPr>
                <w:b/>
                <w:color w:val="FFFFFF"/>
                <w:sz w:val="18"/>
              </w:rPr>
            </w:pPr>
            <w:r>
              <w:rPr>
                <w:b/>
                <w:color w:val="FFFFFF"/>
                <w:sz w:val="18"/>
              </w:rPr>
              <w:t>Numero antigene</w:t>
            </w:r>
          </w:p>
        </w:tc>
      </w:tr>
      <w:tr w:rsidR="00EF4BEC" w14:paraId="00242FE1" w14:textId="77777777">
        <w:trPr>
          <w:trHeight w:val="416"/>
        </w:trPr>
        <w:tc>
          <w:tcPr>
            <w:tcW w:w="611" w:type="dxa"/>
            <w:vMerge/>
            <w:tcBorders>
              <w:left w:val="none" w:sz="4" w:space="0" w:color="000000"/>
              <w:bottom w:val="single" w:sz="8" w:space="0" w:color="000000"/>
              <w:right w:val="single" w:sz="4" w:space="0" w:color="FFFFFF"/>
            </w:tcBorders>
            <w:shd w:val="clear" w:color="4BACC6" w:fill="4BACC6"/>
            <w:noWrap/>
            <w:vAlign w:val="center"/>
          </w:tcPr>
          <w:p w14:paraId="28D5D05E" w14:textId="77777777" w:rsidR="00EF4BEC" w:rsidRDefault="00EF4BEC">
            <w:pPr>
              <w:spacing w:line="240" w:lineRule="auto"/>
              <w:jc w:val="center"/>
              <w:rPr>
                <w:b/>
                <w:color w:val="FFFFFF"/>
                <w:sz w:val="18"/>
              </w:rPr>
            </w:pPr>
          </w:p>
        </w:tc>
        <w:tc>
          <w:tcPr>
            <w:tcW w:w="1407" w:type="dxa"/>
            <w:vMerge/>
            <w:tcBorders>
              <w:left w:val="single" w:sz="4" w:space="0" w:color="FFFFFF"/>
              <w:bottom w:val="single" w:sz="12" w:space="0" w:color="FFFFFF"/>
              <w:right w:val="single" w:sz="4" w:space="0" w:color="FFFFFF"/>
            </w:tcBorders>
            <w:shd w:val="clear" w:color="C0504D" w:fill="C0504D"/>
            <w:noWrap/>
            <w:vAlign w:val="center"/>
          </w:tcPr>
          <w:p w14:paraId="2DA76C0F" w14:textId="77777777" w:rsidR="00EF4BEC" w:rsidRDefault="00EF4BEC">
            <w:pPr>
              <w:spacing w:line="240" w:lineRule="auto"/>
              <w:jc w:val="center"/>
              <w:rPr>
                <w:b/>
                <w:color w:val="FFFFFF"/>
                <w:sz w:val="18"/>
              </w:rPr>
            </w:pPr>
          </w:p>
        </w:tc>
        <w:tc>
          <w:tcPr>
            <w:tcW w:w="90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0AE940FC" w14:textId="77777777" w:rsidR="00EF4BEC" w:rsidRDefault="009E2ACD">
            <w:pPr>
              <w:spacing w:line="240" w:lineRule="auto"/>
              <w:jc w:val="center"/>
              <w:rPr>
                <w:b/>
                <w:color w:val="FFFFFF"/>
                <w:sz w:val="18"/>
              </w:rPr>
            </w:pPr>
            <w:r>
              <w:rPr>
                <w:b/>
                <w:color w:val="FFFFFF"/>
                <w:sz w:val="18"/>
              </w:rPr>
              <w:t>1</w:t>
            </w:r>
          </w:p>
        </w:tc>
        <w:tc>
          <w:tcPr>
            <w:tcW w:w="67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316ECC9A" w14:textId="77777777" w:rsidR="00EF4BEC" w:rsidRDefault="009E2ACD">
            <w:pPr>
              <w:spacing w:line="240" w:lineRule="auto"/>
              <w:jc w:val="center"/>
              <w:rPr>
                <w:b/>
                <w:color w:val="FFFFFF"/>
                <w:sz w:val="18"/>
              </w:rPr>
            </w:pPr>
            <w:r>
              <w:rPr>
                <w:b/>
                <w:color w:val="FFFFFF"/>
                <w:sz w:val="18"/>
              </w:rPr>
              <w:t>2</w:t>
            </w:r>
          </w:p>
        </w:tc>
        <w:tc>
          <w:tcPr>
            <w:tcW w:w="68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02AC0D9C" w14:textId="77777777" w:rsidR="00EF4BEC" w:rsidRDefault="009E2ACD">
            <w:pPr>
              <w:spacing w:line="240" w:lineRule="auto"/>
              <w:jc w:val="center"/>
              <w:rPr>
                <w:b/>
                <w:color w:val="FFFFFF"/>
                <w:sz w:val="18"/>
              </w:rPr>
            </w:pPr>
            <w:r>
              <w:rPr>
                <w:b/>
                <w:color w:val="FFFFFF"/>
                <w:sz w:val="18"/>
              </w:rPr>
              <w:t>3</w:t>
            </w:r>
          </w:p>
        </w:tc>
        <w:tc>
          <w:tcPr>
            <w:tcW w:w="66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1D92CF19" w14:textId="77777777" w:rsidR="00EF4BEC" w:rsidRDefault="009E2ACD">
            <w:pPr>
              <w:spacing w:line="240" w:lineRule="auto"/>
              <w:jc w:val="center"/>
              <w:rPr>
                <w:b/>
                <w:color w:val="FFFFFF"/>
                <w:sz w:val="18"/>
              </w:rPr>
            </w:pPr>
            <w:r>
              <w:rPr>
                <w:b/>
                <w:color w:val="FFFFFF"/>
                <w:sz w:val="18"/>
              </w:rPr>
              <w:t>4</w:t>
            </w:r>
          </w:p>
        </w:tc>
        <w:tc>
          <w:tcPr>
            <w:tcW w:w="67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241FB91E" w14:textId="77777777" w:rsidR="00EF4BEC" w:rsidRDefault="009E2ACD">
            <w:pPr>
              <w:spacing w:line="240" w:lineRule="auto"/>
              <w:jc w:val="center"/>
              <w:rPr>
                <w:b/>
                <w:color w:val="FFFFFF"/>
                <w:sz w:val="18"/>
              </w:rPr>
            </w:pPr>
            <w:r>
              <w:rPr>
                <w:b/>
                <w:color w:val="FFFFFF"/>
                <w:sz w:val="18"/>
              </w:rPr>
              <w:t>5</w:t>
            </w:r>
          </w:p>
        </w:tc>
        <w:tc>
          <w:tcPr>
            <w:tcW w:w="66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700D85DE" w14:textId="77777777" w:rsidR="00EF4BEC" w:rsidRDefault="009E2ACD">
            <w:pPr>
              <w:spacing w:line="240" w:lineRule="auto"/>
              <w:jc w:val="center"/>
              <w:rPr>
                <w:b/>
                <w:color w:val="FFFFFF"/>
                <w:sz w:val="18"/>
              </w:rPr>
            </w:pPr>
            <w:r>
              <w:rPr>
                <w:b/>
                <w:color w:val="FFFFFF"/>
                <w:sz w:val="18"/>
              </w:rPr>
              <w:t>6</w:t>
            </w:r>
          </w:p>
        </w:tc>
        <w:tc>
          <w:tcPr>
            <w:tcW w:w="70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51D58AE9" w14:textId="77777777" w:rsidR="00EF4BEC" w:rsidRDefault="009E2ACD">
            <w:pPr>
              <w:spacing w:line="240" w:lineRule="auto"/>
              <w:jc w:val="center"/>
              <w:rPr>
                <w:b/>
                <w:color w:val="FFFFFF"/>
                <w:sz w:val="18"/>
              </w:rPr>
            </w:pPr>
            <w:r>
              <w:rPr>
                <w:b/>
                <w:color w:val="FFFFFF"/>
                <w:sz w:val="18"/>
              </w:rPr>
              <w:t>7</w:t>
            </w:r>
          </w:p>
        </w:tc>
        <w:tc>
          <w:tcPr>
            <w:tcW w:w="660" w:type="dxa"/>
            <w:tcBorders>
              <w:top w:val="none" w:sz="4" w:space="0" w:color="000000"/>
              <w:left w:val="single" w:sz="4" w:space="0" w:color="FFFFFF"/>
              <w:bottom w:val="single" w:sz="12" w:space="0" w:color="FFFFFF"/>
              <w:right w:val="none" w:sz="4" w:space="0" w:color="000000"/>
            </w:tcBorders>
            <w:shd w:val="clear" w:color="C0504D" w:fill="C0504D"/>
            <w:noWrap/>
            <w:vAlign w:val="center"/>
          </w:tcPr>
          <w:p w14:paraId="083EF0D4" w14:textId="77777777" w:rsidR="00EF4BEC" w:rsidRDefault="009E2ACD">
            <w:pPr>
              <w:spacing w:line="240" w:lineRule="auto"/>
              <w:jc w:val="center"/>
              <w:rPr>
                <w:b/>
                <w:color w:val="FFFFFF"/>
                <w:sz w:val="18"/>
              </w:rPr>
            </w:pPr>
            <w:r>
              <w:rPr>
                <w:b/>
                <w:color w:val="FFFFFF"/>
                <w:sz w:val="18"/>
              </w:rPr>
              <w:t>8</w:t>
            </w:r>
          </w:p>
        </w:tc>
        <w:tc>
          <w:tcPr>
            <w:tcW w:w="680" w:type="dxa"/>
            <w:tcBorders>
              <w:top w:val="none" w:sz="4" w:space="0" w:color="000000"/>
              <w:left w:val="single" w:sz="4" w:space="0" w:color="FFFFFF"/>
              <w:bottom w:val="single" w:sz="12" w:space="0" w:color="FFFFFF"/>
              <w:right w:val="none" w:sz="4" w:space="0" w:color="000000"/>
            </w:tcBorders>
            <w:shd w:val="clear" w:color="C0504D" w:fill="C0504D"/>
            <w:noWrap/>
            <w:vAlign w:val="center"/>
          </w:tcPr>
          <w:p w14:paraId="71A9A2DE" w14:textId="77777777" w:rsidR="00EF4BEC" w:rsidRDefault="009E2ACD">
            <w:pPr>
              <w:spacing w:line="240" w:lineRule="auto"/>
              <w:jc w:val="center"/>
              <w:rPr>
                <w:color w:val="FFFFFF"/>
                <w:sz w:val="18"/>
              </w:rPr>
            </w:pPr>
            <w:r>
              <w:rPr>
                <w:b/>
                <w:color w:val="FFFFFF"/>
                <w:sz w:val="18"/>
              </w:rPr>
              <w:t>9</w:t>
            </w:r>
          </w:p>
        </w:tc>
        <w:tc>
          <w:tcPr>
            <w:tcW w:w="661"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13DA2526" w14:textId="77777777" w:rsidR="00EF4BEC" w:rsidRDefault="009E2ACD">
            <w:pPr>
              <w:spacing w:line="240" w:lineRule="auto"/>
              <w:jc w:val="center"/>
              <w:rPr>
                <w:b/>
                <w:color w:val="FFFFFF"/>
                <w:sz w:val="18"/>
              </w:rPr>
            </w:pPr>
            <w:r>
              <w:rPr>
                <w:b/>
                <w:color w:val="FFFFFF"/>
                <w:sz w:val="18"/>
              </w:rPr>
              <w:t>10</w:t>
            </w:r>
          </w:p>
        </w:tc>
        <w:tc>
          <w:tcPr>
            <w:tcW w:w="651"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32CFD814" w14:textId="77777777" w:rsidR="00EF4BEC" w:rsidRDefault="009E2ACD">
            <w:pPr>
              <w:spacing w:line="240" w:lineRule="auto"/>
              <w:jc w:val="center"/>
              <w:rPr>
                <w:b/>
                <w:color w:val="FFFFFF"/>
                <w:sz w:val="18"/>
              </w:rPr>
            </w:pPr>
            <w:r>
              <w:rPr>
                <w:b/>
                <w:color w:val="FFFFFF"/>
                <w:sz w:val="18"/>
              </w:rPr>
              <w:t>11</w:t>
            </w:r>
          </w:p>
        </w:tc>
        <w:tc>
          <w:tcPr>
            <w:tcW w:w="734"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6AA156B9" w14:textId="77777777" w:rsidR="00EF4BEC" w:rsidRDefault="009E2ACD">
            <w:pPr>
              <w:spacing w:line="240" w:lineRule="auto"/>
              <w:jc w:val="center"/>
              <w:rPr>
                <w:rFonts w:eastAsia="Times New Roman"/>
                <w:b/>
                <w:bCs/>
                <w:color w:val="FFFFFF"/>
                <w:sz w:val="18"/>
                <w:lang w:eastAsia="de-CH"/>
              </w:rPr>
            </w:pPr>
            <w:r>
              <w:rPr>
                <w:rFonts w:eastAsia="Times New Roman"/>
                <w:b/>
                <w:bCs/>
                <w:color w:val="FFFFFF" w:themeColor="background1"/>
                <w:sz w:val="18"/>
                <w:lang w:eastAsia="de-CH"/>
              </w:rPr>
              <w:t>12</w:t>
            </w:r>
          </w:p>
        </w:tc>
        <w:tc>
          <w:tcPr>
            <w:tcW w:w="709"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4A88E0C8" w14:textId="77777777" w:rsidR="00EF4BEC" w:rsidRDefault="009E2ACD">
            <w:pPr>
              <w:spacing w:line="240" w:lineRule="auto"/>
              <w:jc w:val="center"/>
              <w:rPr>
                <w:rFonts w:eastAsia="Times New Roman"/>
                <w:b/>
                <w:bCs/>
                <w:color w:val="FFFFFF"/>
                <w:sz w:val="18"/>
                <w:lang w:eastAsia="de-CH"/>
              </w:rPr>
            </w:pPr>
            <w:r>
              <w:rPr>
                <w:rFonts w:eastAsia="Times New Roman"/>
                <w:b/>
                <w:bCs/>
                <w:color w:val="FFFFFF" w:themeColor="background1"/>
                <w:sz w:val="18"/>
                <w:lang w:eastAsia="de-CH"/>
              </w:rPr>
              <w:t>Total</w:t>
            </w:r>
          </w:p>
        </w:tc>
      </w:tr>
      <w:tr w:rsidR="00EF4BEC" w14:paraId="052654EA" w14:textId="77777777">
        <w:trPr>
          <w:trHeight w:val="565"/>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074D6857" w14:textId="77777777" w:rsidR="00EF4BEC" w:rsidRDefault="009E2ACD">
            <w:pPr>
              <w:spacing w:line="240" w:lineRule="auto"/>
              <w:jc w:val="center"/>
              <w:rPr>
                <w:b/>
                <w:color w:val="000000"/>
                <w:sz w:val="18"/>
              </w:rPr>
            </w:pPr>
            <w:r>
              <w:rPr>
                <w:b/>
                <w:color w:val="000000"/>
                <w:sz w:val="18"/>
              </w:rPr>
              <w:t>001</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FA87B6B" w14:textId="77777777" w:rsidR="00EF4BEC" w:rsidRDefault="009E2ACD">
            <w:pPr>
              <w:spacing w:line="240" w:lineRule="auto"/>
              <w:jc w:val="center"/>
              <w:rPr>
                <w:b/>
                <w:color w:val="000000"/>
                <w:sz w:val="18"/>
              </w:rPr>
            </w:pPr>
            <w:r>
              <w:rPr>
                <w:b/>
                <w:color w:val="000000"/>
                <w:sz w:val="18"/>
              </w:rPr>
              <w:t>ABO</w:t>
            </w:r>
            <w:r>
              <w:rPr>
                <w:b/>
                <w:color w:val="000000"/>
                <w:sz w:val="18"/>
                <w:vertAlign w:val="superscript"/>
              </w:rPr>
              <w:t>$</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D93875C" w14:textId="77777777" w:rsidR="00EF4BEC" w:rsidRDefault="009E2ACD">
            <w:pPr>
              <w:spacing w:line="240" w:lineRule="auto"/>
              <w:jc w:val="center"/>
              <w:rPr>
                <w:b/>
                <w:color w:val="0070C0"/>
                <w:sz w:val="18"/>
              </w:rPr>
            </w:pPr>
            <w:r>
              <w:rPr>
                <w:b/>
                <w:color w:val="0070C0"/>
                <w:sz w:val="18"/>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FBCBA9F" w14:textId="77777777" w:rsidR="00EF4BEC" w:rsidRDefault="009E2ACD">
            <w:pPr>
              <w:spacing w:line="240" w:lineRule="auto"/>
              <w:jc w:val="center"/>
              <w:rPr>
                <w:b/>
                <w:color w:val="0070C0"/>
                <w:sz w:val="18"/>
              </w:rPr>
            </w:pPr>
            <w:r>
              <w:rPr>
                <w:b/>
                <w:color w:val="0070C0"/>
                <w:sz w:val="18"/>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6505CAC" w14:textId="77777777" w:rsidR="00EF4BEC" w:rsidRDefault="009E2ACD">
            <w:pPr>
              <w:spacing w:line="240" w:lineRule="auto"/>
              <w:jc w:val="center"/>
              <w:rPr>
                <w:b/>
                <w:color w:val="0070C0"/>
                <w:sz w:val="18"/>
              </w:rPr>
            </w:pPr>
            <w:r>
              <w:rPr>
                <w:b/>
                <w:color w:val="0070C0"/>
                <w:sz w:val="18"/>
              </w:rPr>
              <w:t>A,B</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4001671" w14:textId="77777777" w:rsidR="00EF4BEC" w:rsidRDefault="009E2ACD">
            <w:pPr>
              <w:spacing w:line="240" w:lineRule="auto"/>
              <w:jc w:val="center"/>
              <w:rPr>
                <w:b/>
                <w:color w:val="0070C0"/>
                <w:sz w:val="18"/>
              </w:rPr>
            </w:pPr>
            <w:r>
              <w:rPr>
                <w:b/>
                <w:color w:val="0070C0"/>
                <w:sz w:val="18"/>
              </w:rPr>
              <w:t>A1</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269AC5F" w14:textId="77777777" w:rsidR="00EF4BEC" w:rsidRDefault="009E2ACD">
            <w:pPr>
              <w:spacing w:line="240" w:lineRule="auto"/>
              <w:jc w:val="center"/>
              <w:rPr>
                <w:b/>
                <w:color w:val="000000"/>
                <w:sz w:val="18"/>
              </w:rPr>
            </w:pPr>
            <w:r>
              <w:rPr>
                <w:b/>
                <w:color w:val="000000"/>
                <w:sz w:val="18"/>
              </w:rPr>
              <w:t>…</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B065848" w14:textId="77777777" w:rsidR="00EF4BEC" w:rsidRDefault="00EF4BEC">
            <w:pPr>
              <w:spacing w:line="240" w:lineRule="auto"/>
              <w:jc w:val="center"/>
              <w:rPr>
                <w:b/>
                <w:color w:val="000000"/>
                <w:sz w:val="18"/>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D759C99" w14:textId="77777777" w:rsidR="00EF4BEC" w:rsidRDefault="00EF4BEC">
            <w:pPr>
              <w:spacing w:line="240" w:lineRule="auto"/>
              <w:jc w:val="center"/>
              <w:rPr>
                <w:b/>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14056D48" w14:textId="77777777" w:rsidR="00EF4BEC" w:rsidRDefault="00EF4BEC">
            <w:pPr>
              <w:spacing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2F3E1283" w14:textId="77777777" w:rsidR="00EF4BEC" w:rsidRDefault="00EF4BEC">
            <w:pPr>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B58FDA2" w14:textId="77777777" w:rsidR="00EF4BEC" w:rsidRDefault="00EF4BEC">
            <w:pPr>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20072C16" w14:textId="77777777" w:rsidR="00EF4BEC" w:rsidRDefault="00EF4BEC">
            <w:pPr>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4E3301C3" w14:textId="77777777" w:rsidR="00EF4BEC" w:rsidRDefault="00EF4BEC">
            <w:pPr>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5D77168" w14:textId="77777777" w:rsidR="00EF4BEC" w:rsidRDefault="009E2ACD">
            <w:pPr>
              <w:jc w:val="center"/>
              <w:rPr>
                <w:rFonts w:eastAsia="Times New Roman"/>
                <w:b/>
                <w:sz w:val="18"/>
                <w:lang w:eastAsia="de-CH"/>
              </w:rPr>
            </w:pPr>
            <w:r>
              <w:rPr>
                <w:rFonts w:eastAsia="Times New Roman"/>
                <w:b/>
                <w:sz w:val="18"/>
                <w:lang w:eastAsia="de-CH"/>
              </w:rPr>
              <w:t>4</w:t>
            </w:r>
          </w:p>
        </w:tc>
      </w:tr>
      <w:tr w:rsidR="00EF4BEC" w14:paraId="6E0C3F9A" w14:textId="77777777">
        <w:trPr>
          <w:trHeight w:val="579"/>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2A9435FA" w14:textId="77777777" w:rsidR="00EF4BEC" w:rsidRDefault="009E2ACD">
            <w:pPr>
              <w:spacing w:line="240" w:lineRule="auto"/>
              <w:jc w:val="center"/>
              <w:rPr>
                <w:b/>
                <w:color w:val="000000"/>
                <w:sz w:val="18"/>
              </w:rPr>
            </w:pPr>
            <w:r>
              <w:rPr>
                <w:b/>
                <w:color w:val="000000"/>
                <w:sz w:val="18"/>
              </w:rPr>
              <w:t>002</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2E78EAA" w14:textId="77777777" w:rsidR="00EF4BEC" w:rsidRDefault="009E2ACD">
            <w:pPr>
              <w:spacing w:line="240" w:lineRule="auto"/>
              <w:jc w:val="center"/>
              <w:rPr>
                <w:b/>
                <w:color w:val="000000"/>
                <w:sz w:val="18"/>
              </w:rPr>
            </w:pPr>
            <w:r>
              <w:rPr>
                <w:b/>
                <w:color w:val="000000"/>
                <w:sz w:val="18"/>
              </w:rPr>
              <w:t>MNS</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858D73D" w14:textId="77777777" w:rsidR="00EF4BEC" w:rsidRDefault="009E2ACD">
            <w:pPr>
              <w:spacing w:line="240" w:lineRule="auto"/>
              <w:jc w:val="center"/>
              <w:rPr>
                <w:b/>
                <w:color w:val="0070C0"/>
                <w:sz w:val="18"/>
              </w:rPr>
            </w:pPr>
            <w:r>
              <w:rPr>
                <w:b/>
                <w:color w:val="0070C0"/>
                <w:sz w:val="18"/>
              </w:rPr>
              <w:t>M</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34623F0" w14:textId="77777777" w:rsidR="00EF4BEC" w:rsidRDefault="009E2ACD">
            <w:pPr>
              <w:spacing w:line="240" w:lineRule="auto"/>
              <w:jc w:val="center"/>
              <w:rPr>
                <w:b/>
                <w:color w:val="0070C0"/>
                <w:sz w:val="18"/>
              </w:rPr>
            </w:pPr>
            <w:r>
              <w:rPr>
                <w:b/>
                <w:color w:val="0070C0"/>
                <w:sz w:val="18"/>
              </w:rPr>
              <w:t>N</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4DD93CB" w14:textId="77777777" w:rsidR="00EF4BEC" w:rsidRDefault="009E2ACD">
            <w:pPr>
              <w:spacing w:line="240" w:lineRule="auto"/>
              <w:jc w:val="center"/>
              <w:rPr>
                <w:b/>
                <w:color w:val="0070C0"/>
                <w:sz w:val="18"/>
              </w:rPr>
            </w:pPr>
            <w:r>
              <w:rPr>
                <w:b/>
                <w:color w:val="0070C0"/>
                <w:sz w:val="18"/>
              </w:rPr>
              <w:t>S</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37B91EA" w14:textId="77777777" w:rsidR="00EF4BEC" w:rsidRDefault="009E2ACD">
            <w:pPr>
              <w:spacing w:line="240" w:lineRule="auto"/>
              <w:jc w:val="center"/>
              <w:rPr>
                <w:b/>
                <w:color w:val="0070C0"/>
                <w:sz w:val="18"/>
              </w:rPr>
            </w:pPr>
            <w:r>
              <w:rPr>
                <w:b/>
                <w:color w:val="0070C0"/>
                <w:sz w:val="18"/>
              </w:rPr>
              <w:t>s</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6997635" w14:textId="77777777" w:rsidR="00EF4BEC" w:rsidRDefault="009E2ACD">
            <w:pPr>
              <w:spacing w:line="240" w:lineRule="auto"/>
              <w:jc w:val="center"/>
              <w:rPr>
                <w:b/>
                <w:color w:val="FF0000"/>
                <w:sz w:val="18"/>
              </w:rPr>
            </w:pPr>
            <w:r>
              <w:rPr>
                <w:b/>
                <w:color w:val="FF0000"/>
                <w:sz w:val="18"/>
              </w:rPr>
              <w:t>U</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8588B92" w14:textId="77777777" w:rsidR="00EF4BEC" w:rsidRDefault="009E2ACD">
            <w:pPr>
              <w:spacing w:line="240" w:lineRule="auto"/>
              <w:jc w:val="center"/>
              <w:rPr>
                <w:color w:val="00B050"/>
                <w:sz w:val="18"/>
              </w:rPr>
            </w:pPr>
            <w:r>
              <w:rPr>
                <w:b/>
                <w:color w:val="00B050"/>
                <w:sz w:val="18"/>
              </w:rPr>
              <w:t>He</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7EF4259" w14:textId="77777777" w:rsidR="00EF4BEC" w:rsidRDefault="009E2ACD">
            <w:pPr>
              <w:spacing w:line="240" w:lineRule="auto"/>
              <w:jc w:val="center"/>
              <w:rPr>
                <w:color w:val="00B050"/>
                <w:sz w:val="18"/>
              </w:rPr>
            </w:pPr>
            <w:r>
              <w:rPr>
                <w:b/>
                <w:color w:val="00B050"/>
                <w:sz w:val="18"/>
              </w:rPr>
              <w:t>Mi</w:t>
            </w:r>
            <w:r>
              <w:rPr>
                <w:b/>
                <w:color w:val="00B050"/>
                <w:sz w:val="18"/>
                <w:vertAlign w:val="superscript"/>
              </w:rPr>
              <w:t>a</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00D10FCD" w14:textId="77777777" w:rsidR="00EF4BEC" w:rsidRDefault="009E2ACD">
            <w:pPr>
              <w:spacing w:line="240" w:lineRule="auto"/>
              <w:jc w:val="center"/>
              <w:rPr>
                <w:color w:val="00B050"/>
                <w:sz w:val="18"/>
              </w:rPr>
            </w:pPr>
            <w:r>
              <w:rPr>
                <w:b/>
                <w:color w:val="00B050"/>
                <w:sz w:val="18"/>
              </w:rPr>
              <w:t>M</w:t>
            </w:r>
            <w:r>
              <w:rPr>
                <w:b/>
                <w:color w:val="00B050"/>
                <w:sz w:val="18"/>
                <w:vertAlign w:val="superscript"/>
              </w:rPr>
              <w:t>c</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6F57D92D" w14:textId="77777777" w:rsidR="00EF4BEC" w:rsidRDefault="009E2ACD">
            <w:pPr>
              <w:spacing w:line="240" w:lineRule="auto"/>
              <w:jc w:val="center"/>
              <w:rPr>
                <w:color w:val="00B050"/>
                <w:sz w:val="18"/>
              </w:rPr>
            </w:pPr>
            <w:r>
              <w:rPr>
                <w:b/>
                <w:color w:val="00B050"/>
                <w:sz w:val="18"/>
              </w:rPr>
              <w:t>Vw</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18338BE9" w14:textId="77777777" w:rsidR="00EF4BEC" w:rsidRDefault="009E2ACD">
            <w:pPr>
              <w:spacing w:line="240" w:lineRule="auto"/>
              <w:jc w:val="center"/>
              <w:rPr>
                <w:b/>
                <w:color w:val="00B050"/>
                <w:sz w:val="18"/>
              </w:rPr>
            </w:pPr>
            <w:r>
              <w:rPr>
                <w:b/>
                <w:color w:val="00B050"/>
                <w:sz w:val="18"/>
              </w:rPr>
              <w:t>Mur</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0C8B32B4" w14:textId="77777777" w:rsidR="00EF4BEC" w:rsidRDefault="009E2ACD">
            <w:pPr>
              <w:spacing w:line="240" w:lineRule="auto"/>
              <w:jc w:val="center"/>
              <w:rPr>
                <w:b/>
                <w:color w:val="00B050"/>
                <w:sz w:val="18"/>
              </w:rPr>
            </w:pPr>
            <w:r>
              <w:rPr>
                <w:b/>
                <w:color w:val="00B050"/>
                <w:sz w:val="18"/>
              </w:rPr>
              <w:t>M</w:t>
            </w:r>
            <w:r>
              <w:rPr>
                <w:b/>
                <w:color w:val="00B050"/>
                <w:sz w:val="18"/>
                <w:vertAlign w:val="superscript"/>
              </w:rPr>
              <w:t>g</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5324DAB0" w14:textId="77777777" w:rsidR="00EF4BEC" w:rsidRDefault="009E2ACD">
            <w:pPr>
              <w:spacing w:line="240" w:lineRule="auto"/>
              <w:jc w:val="center"/>
              <w:rPr>
                <w:rFonts w:eastAsia="Times New Roman"/>
                <w:b/>
                <w:color w:val="00B050"/>
                <w:sz w:val="18"/>
                <w:lang w:eastAsia="de-CH"/>
              </w:rPr>
            </w:pPr>
            <w:r>
              <w:rPr>
                <w:rFonts w:eastAsia="Times New Roman"/>
                <w:b/>
                <w:color w:val="00B050"/>
                <w:sz w:val="18"/>
                <w:lang w:eastAsia="de-CH"/>
              </w:rPr>
              <w:t>Vr</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47E66DB9" w14:textId="77777777" w:rsidR="00EF4BEC" w:rsidRDefault="009E2ACD">
            <w:pPr>
              <w:spacing w:line="240" w:lineRule="auto"/>
              <w:jc w:val="center"/>
              <w:rPr>
                <w:rFonts w:eastAsia="Times New Roman"/>
                <w:b/>
                <w:color w:val="00B050"/>
                <w:sz w:val="18"/>
                <w:lang w:eastAsia="de-CH"/>
              </w:rPr>
            </w:pPr>
            <w:r>
              <w:rPr>
                <w:rFonts w:eastAsia="Times New Roman"/>
                <w:b/>
                <w:color w:val="00B050"/>
                <w:sz w:val="18"/>
                <w:lang w:eastAsia="de-CH"/>
              </w:rPr>
              <w:t>50</w:t>
            </w:r>
          </w:p>
        </w:tc>
      </w:tr>
      <w:tr w:rsidR="00EF4BEC" w14:paraId="1A067E61" w14:textId="77777777">
        <w:trPr>
          <w:trHeight w:val="44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66F0D846" w14:textId="77777777" w:rsidR="00EF4BEC" w:rsidRDefault="009E2ACD">
            <w:pPr>
              <w:spacing w:line="240" w:lineRule="auto"/>
              <w:jc w:val="center"/>
              <w:rPr>
                <w:b/>
                <w:color w:val="000000"/>
                <w:sz w:val="18"/>
              </w:rPr>
            </w:pPr>
            <w:r>
              <w:rPr>
                <w:b/>
                <w:color w:val="000000"/>
                <w:sz w:val="18"/>
              </w:rPr>
              <w:t>003</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0A5F3D6" w14:textId="77777777" w:rsidR="00EF4BEC" w:rsidRDefault="009E2ACD">
            <w:pPr>
              <w:spacing w:line="240" w:lineRule="auto"/>
              <w:jc w:val="center"/>
              <w:rPr>
                <w:b/>
                <w:color w:val="000000"/>
                <w:sz w:val="18"/>
              </w:rPr>
            </w:pPr>
            <w:r>
              <w:rPr>
                <w:b/>
                <w:color w:val="000000"/>
                <w:sz w:val="18"/>
              </w:rPr>
              <w:t>P1PK</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9881CA1" w14:textId="77777777" w:rsidR="00EF4BEC" w:rsidRDefault="009E2ACD">
            <w:pPr>
              <w:spacing w:line="240" w:lineRule="auto"/>
              <w:jc w:val="center"/>
              <w:rPr>
                <w:b/>
                <w:color w:val="0070C0"/>
                <w:sz w:val="18"/>
              </w:rPr>
            </w:pPr>
            <w:r>
              <w:rPr>
                <w:b/>
                <w:color w:val="0070C0"/>
                <w:sz w:val="18"/>
              </w:rPr>
              <w:t>P1</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5BF15B2" w14:textId="77777777" w:rsidR="00EF4BEC" w:rsidRDefault="009E2ACD">
            <w:pPr>
              <w:spacing w:line="240" w:lineRule="auto"/>
              <w:jc w:val="center"/>
              <w:rPr>
                <w:b/>
                <w:color w:val="0070C0"/>
                <w:sz w:val="18"/>
              </w:rPr>
            </w:pPr>
            <w:r>
              <w:rPr>
                <w:rFonts w:eastAsia="Times New Roman"/>
                <w:b/>
                <w:color w:val="0070C0"/>
                <w:sz w:val="18"/>
                <w:lang w:eastAsia="de-CH"/>
              </w:rPr>
              <w:t>---</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EB012E5" w14:textId="77777777" w:rsidR="00EF4BEC" w:rsidRDefault="009E2ACD">
            <w:pPr>
              <w:spacing w:line="240" w:lineRule="auto"/>
              <w:jc w:val="center"/>
              <w:rPr>
                <w:b/>
                <w:sz w:val="18"/>
              </w:rPr>
            </w:pPr>
            <w:r>
              <w:rPr>
                <w:rFonts w:eastAsia="Times New Roman"/>
                <w:b/>
                <w:sz w:val="18"/>
                <w:lang w:eastAsia="de-CH"/>
              </w:rPr>
              <w:t>p</w:t>
            </w:r>
            <w:r>
              <w:rPr>
                <w:rFonts w:eastAsia="Times New Roman"/>
                <w:b/>
                <w:sz w:val="18"/>
                <w:vertAlign w:val="superscript"/>
                <w:lang w:eastAsia="de-CH"/>
              </w:rPr>
              <w:t>k</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3D1D51A" w14:textId="77777777" w:rsidR="00EF4BEC" w:rsidRDefault="009E2ACD">
            <w:pPr>
              <w:spacing w:line="240" w:lineRule="auto"/>
              <w:jc w:val="center"/>
              <w:rPr>
                <w:b/>
                <w:sz w:val="18"/>
              </w:rPr>
            </w:pPr>
            <w:r>
              <w:rPr>
                <w:rFonts w:eastAsia="Times New Roman"/>
                <w:b/>
                <w:sz w:val="18"/>
                <w:lang w:eastAsia="de-CH"/>
              </w:rPr>
              <w:t>NOR</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3E90E4D" w14:textId="77777777" w:rsidR="00EF4BEC" w:rsidRDefault="00EF4BEC">
            <w:pPr>
              <w:spacing w:line="240" w:lineRule="auto"/>
              <w:jc w:val="center"/>
              <w:rPr>
                <w:b/>
                <w:sz w:val="18"/>
              </w:rPr>
            </w:pP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ED6813A" w14:textId="77777777" w:rsidR="00EF4BEC" w:rsidRDefault="00EF4BEC">
            <w:pPr>
              <w:spacing w:line="240" w:lineRule="auto"/>
              <w:jc w:val="center"/>
              <w:rPr>
                <w:b/>
                <w:sz w:val="18"/>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628856F" w14:textId="77777777" w:rsidR="00EF4BEC" w:rsidRDefault="00EF4BEC">
            <w:pPr>
              <w:spacing w:line="240" w:lineRule="auto"/>
              <w:jc w:val="center"/>
              <w:rPr>
                <w:b/>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5B93B470" w14:textId="77777777" w:rsidR="00EF4BEC" w:rsidRDefault="00EF4BEC">
            <w:pPr>
              <w:spacing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4C7E009B" w14:textId="77777777" w:rsidR="00EF4BEC" w:rsidRDefault="00EF4BEC">
            <w:pPr>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8EA24EF" w14:textId="77777777" w:rsidR="00EF4BEC" w:rsidRDefault="00EF4BEC">
            <w:pPr>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6997AA81" w14:textId="77777777" w:rsidR="00EF4BEC" w:rsidRDefault="00EF4BEC">
            <w:pPr>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A751437" w14:textId="77777777" w:rsidR="00EF4BEC" w:rsidRDefault="00EF4BEC">
            <w:pPr>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8957DC2" w14:textId="77777777" w:rsidR="00EF4BEC" w:rsidRDefault="009E2ACD">
            <w:pPr>
              <w:jc w:val="center"/>
              <w:rPr>
                <w:rFonts w:eastAsia="Times New Roman"/>
                <w:b/>
                <w:sz w:val="18"/>
                <w:lang w:eastAsia="de-CH"/>
              </w:rPr>
            </w:pPr>
            <w:r>
              <w:rPr>
                <w:rFonts w:eastAsia="Times New Roman"/>
                <w:b/>
                <w:sz w:val="18"/>
                <w:lang w:eastAsia="de-CH"/>
              </w:rPr>
              <w:t>3</w:t>
            </w:r>
          </w:p>
        </w:tc>
      </w:tr>
      <w:tr w:rsidR="00EF4BEC" w14:paraId="4AD1D049" w14:textId="77777777">
        <w:trPr>
          <w:trHeight w:val="432"/>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062B0F4E" w14:textId="77777777" w:rsidR="00EF4BEC" w:rsidRDefault="009E2ACD">
            <w:pPr>
              <w:spacing w:line="240" w:lineRule="auto"/>
              <w:jc w:val="center"/>
              <w:rPr>
                <w:b/>
                <w:color w:val="000000"/>
                <w:sz w:val="18"/>
              </w:rPr>
            </w:pPr>
            <w:r>
              <w:rPr>
                <w:b/>
                <w:color w:val="000000"/>
                <w:sz w:val="18"/>
              </w:rPr>
              <w:t>004</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CF6E26D" w14:textId="77777777" w:rsidR="00EF4BEC" w:rsidRDefault="009E2ACD">
            <w:pPr>
              <w:spacing w:line="240" w:lineRule="auto"/>
              <w:jc w:val="center"/>
              <w:rPr>
                <w:b/>
                <w:color w:val="000000"/>
                <w:sz w:val="18"/>
              </w:rPr>
            </w:pPr>
            <w:r>
              <w:rPr>
                <w:b/>
                <w:color w:val="000000"/>
                <w:sz w:val="18"/>
              </w:rPr>
              <w:t>RH</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6594730" w14:textId="77777777" w:rsidR="00EF4BEC" w:rsidRDefault="009E2ACD">
            <w:pPr>
              <w:spacing w:line="240" w:lineRule="auto"/>
              <w:jc w:val="center"/>
              <w:rPr>
                <w:b/>
                <w:color w:val="0070C0"/>
                <w:sz w:val="18"/>
              </w:rPr>
            </w:pPr>
            <w:r>
              <w:rPr>
                <w:b/>
                <w:color w:val="0070C0"/>
                <w:sz w:val="18"/>
              </w:rPr>
              <w:t>D</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A0CE33E" w14:textId="77777777" w:rsidR="00EF4BEC" w:rsidRDefault="009E2ACD">
            <w:pPr>
              <w:spacing w:line="240" w:lineRule="auto"/>
              <w:jc w:val="center"/>
              <w:rPr>
                <w:b/>
                <w:color w:val="0070C0"/>
                <w:sz w:val="18"/>
              </w:rPr>
            </w:pPr>
            <w:r>
              <w:rPr>
                <w:b/>
                <w:color w:val="0070C0"/>
                <w:sz w:val="18"/>
              </w:rPr>
              <w:t>C</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B767D18" w14:textId="77777777" w:rsidR="00EF4BEC" w:rsidRDefault="009E2ACD">
            <w:pPr>
              <w:spacing w:line="240" w:lineRule="auto"/>
              <w:jc w:val="center"/>
              <w:rPr>
                <w:b/>
                <w:color w:val="0070C0"/>
                <w:sz w:val="18"/>
              </w:rPr>
            </w:pPr>
            <w:r>
              <w:rPr>
                <w:b/>
                <w:color w:val="0070C0"/>
                <w:sz w:val="18"/>
              </w:rPr>
              <w:t>E</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BA9C4B4" w14:textId="77777777" w:rsidR="00EF4BEC" w:rsidRDefault="009E2ACD">
            <w:pPr>
              <w:spacing w:line="240" w:lineRule="auto"/>
              <w:jc w:val="center"/>
              <w:rPr>
                <w:b/>
                <w:color w:val="0070C0"/>
                <w:sz w:val="18"/>
              </w:rPr>
            </w:pPr>
            <w:r>
              <w:rPr>
                <w:b/>
                <w:color w:val="0070C0"/>
                <w:sz w:val="18"/>
              </w:rPr>
              <w:t>c</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AEC1611" w14:textId="77777777" w:rsidR="00EF4BEC" w:rsidRDefault="009E2ACD">
            <w:pPr>
              <w:spacing w:line="240" w:lineRule="auto"/>
              <w:jc w:val="center"/>
              <w:rPr>
                <w:b/>
                <w:color w:val="0070C0"/>
                <w:sz w:val="18"/>
              </w:rPr>
            </w:pPr>
            <w:r>
              <w:rPr>
                <w:b/>
                <w:color w:val="0070C0"/>
                <w:sz w:val="18"/>
              </w:rPr>
              <w:t>e</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E175A94" w14:textId="77777777" w:rsidR="00EF4BEC" w:rsidRDefault="009E2ACD">
            <w:pPr>
              <w:spacing w:line="240" w:lineRule="auto"/>
              <w:jc w:val="center"/>
              <w:rPr>
                <w:b/>
                <w:color w:val="0070C0"/>
                <w:sz w:val="18"/>
              </w:rPr>
            </w:pPr>
            <w:r>
              <w:rPr>
                <w:b/>
                <w:color w:val="0070C0"/>
                <w:sz w:val="18"/>
              </w:rPr>
              <w:t>f</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0FA8F6C" w14:textId="77777777" w:rsidR="00EF4BEC" w:rsidRDefault="009E2ACD">
            <w:pPr>
              <w:spacing w:line="240" w:lineRule="auto"/>
              <w:jc w:val="center"/>
              <w:rPr>
                <w:b/>
                <w:color w:val="0070C0"/>
                <w:sz w:val="18"/>
              </w:rPr>
            </w:pPr>
            <w:r>
              <w:rPr>
                <w:b/>
                <w:color w:val="0070C0"/>
                <w:sz w:val="18"/>
              </w:rPr>
              <w:t>Ce</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175CE9CB" w14:textId="77777777" w:rsidR="00EF4BEC" w:rsidRDefault="009E2ACD">
            <w:pPr>
              <w:spacing w:line="240" w:lineRule="auto"/>
              <w:jc w:val="center"/>
              <w:rPr>
                <w:b/>
                <w:color w:val="00B050"/>
                <w:sz w:val="18"/>
              </w:rPr>
            </w:pPr>
            <w:r>
              <w:rPr>
                <w:b/>
                <w:color w:val="00B050"/>
                <w:sz w:val="18"/>
              </w:rPr>
              <w:t>C</w:t>
            </w:r>
            <w:r>
              <w:rPr>
                <w:b/>
                <w:color w:val="00B050"/>
                <w:sz w:val="18"/>
                <w:vertAlign w:val="superscript"/>
              </w:rPr>
              <w:t>W</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6281D621" w14:textId="77777777" w:rsidR="00EF4BEC" w:rsidRDefault="009E2ACD">
            <w:pPr>
              <w:jc w:val="center"/>
              <w:rPr>
                <w:b/>
                <w:color w:val="00B050"/>
                <w:sz w:val="18"/>
              </w:rPr>
            </w:pPr>
            <w:r>
              <w:rPr>
                <w:b/>
                <w:color w:val="00B050"/>
                <w:sz w:val="18"/>
              </w:rPr>
              <w:t>C</w:t>
            </w:r>
            <w:r>
              <w:rPr>
                <w:b/>
                <w:color w:val="00B050"/>
                <w:sz w:val="18"/>
                <w:vertAlign w:val="superscript"/>
              </w:rPr>
              <w:t>X</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2A009179" w14:textId="77777777" w:rsidR="00EF4BEC" w:rsidRDefault="009E2ACD">
            <w:pPr>
              <w:jc w:val="center"/>
              <w:rPr>
                <w:b/>
                <w:color w:val="00B050"/>
                <w:sz w:val="18"/>
              </w:rPr>
            </w:pPr>
            <w:r>
              <w:rPr>
                <w:b/>
                <w:color w:val="00B050"/>
                <w:sz w:val="18"/>
              </w:rPr>
              <w:t>V</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2D98E7E" w14:textId="77777777" w:rsidR="00EF4BEC" w:rsidRDefault="009E2ACD">
            <w:pPr>
              <w:jc w:val="center"/>
              <w:rPr>
                <w:b/>
                <w:color w:val="00B050"/>
                <w:sz w:val="18"/>
              </w:rPr>
            </w:pPr>
            <w:r>
              <w:rPr>
                <w:b/>
                <w:color w:val="00B050"/>
                <w:sz w:val="18"/>
              </w:rPr>
              <w:t>E</w:t>
            </w:r>
            <w:r>
              <w:rPr>
                <w:b/>
                <w:color w:val="00B050"/>
                <w:sz w:val="18"/>
                <w:vertAlign w:val="superscript"/>
              </w:rPr>
              <w:t>W</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1F3C792D" w14:textId="77777777" w:rsidR="00EF4BEC" w:rsidRDefault="009E2ACD">
            <w:pPr>
              <w:jc w:val="center"/>
              <w:rPr>
                <w:rFonts w:eastAsia="Times New Roman"/>
                <w:b/>
                <w:color w:val="00B050"/>
                <w:sz w:val="18"/>
                <w:lang w:eastAsia="de-CH"/>
              </w:rPr>
            </w:pPr>
            <w:r>
              <w:rPr>
                <w:rFonts w:eastAsia="Times New Roman"/>
                <w:b/>
                <w:color w:val="00B050"/>
                <w:sz w:val="18"/>
                <w:lang w:eastAsia="de-CH"/>
              </w:rPr>
              <w:t>G</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6E01817F" w14:textId="77777777" w:rsidR="00EF4BEC" w:rsidRDefault="009E2ACD">
            <w:pPr>
              <w:jc w:val="center"/>
              <w:rPr>
                <w:rFonts w:eastAsia="Times New Roman"/>
                <w:b/>
                <w:color w:val="00B050"/>
                <w:sz w:val="18"/>
                <w:lang w:eastAsia="de-CH"/>
              </w:rPr>
            </w:pPr>
            <w:r>
              <w:rPr>
                <w:rFonts w:eastAsia="Times New Roman"/>
                <w:b/>
                <w:color w:val="00B050"/>
                <w:sz w:val="18"/>
                <w:lang w:eastAsia="de-CH"/>
              </w:rPr>
              <w:t>55</w:t>
            </w:r>
          </w:p>
        </w:tc>
      </w:tr>
      <w:tr w:rsidR="00EF4BEC" w14:paraId="1B86978C" w14:textId="77777777">
        <w:trPr>
          <w:trHeight w:val="571"/>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6E3050C4" w14:textId="77777777" w:rsidR="00EF4BEC" w:rsidRDefault="009E2ACD">
            <w:pPr>
              <w:spacing w:line="240" w:lineRule="auto"/>
              <w:jc w:val="center"/>
              <w:rPr>
                <w:b/>
                <w:color w:val="000000"/>
                <w:sz w:val="18"/>
              </w:rPr>
            </w:pPr>
            <w:r>
              <w:rPr>
                <w:b/>
                <w:color w:val="000000"/>
                <w:sz w:val="18"/>
              </w:rPr>
              <w:t>005</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E975DA6" w14:textId="77777777" w:rsidR="00EF4BEC" w:rsidRDefault="009E2ACD">
            <w:pPr>
              <w:spacing w:line="240" w:lineRule="auto"/>
              <w:jc w:val="center"/>
              <w:rPr>
                <w:b/>
                <w:color w:val="000000"/>
                <w:sz w:val="18"/>
              </w:rPr>
            </w:pPr>
            <w:r>
              <w:rPr>
                <w:b/>
                <w:color w:val="000000"/>
                <w:sz w:val="18"/>
              </w:rPr>
              <w:t>LU</w:t>
            </w:r>
            <w:r>
              <w:rPr>
                <w:rFonts w:eastAsia="Times New Roman"/>
                <w:b/>
                <w:color w:val="000000"/>
                <w:sz w:val="18"/>
                <w:lang w:eastAsia="de-CH"/>
              </w:rPr>
              <w:t xml:space="preserve"> (Lutheran)</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1FF07941" w14:textId="77777777" w:rsidR="00EF4BEC" w:rsidRDefault="009E2ACD">
            <w:pPr>
              <w:spacing w:line="240" w:lineRule="auto"/>
              <w:jc w:val="center"/>
              <w:rPr>
                <w:b/>
                <w:color w:val="0070C0"/>
                <w:sz w:val="18"/>
              </w:rPr>
            </w:pPr>
            <w:r>
              <w:rPr>
                <w:b/>
                <w:color w:val="0070C0"/>
                <w:sz w:val="18"/>
              </w:rPr>
              <w:t>Lu</w:t>
            </w:r>
            <w:r>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768852F" w14:textId="77777777" w:rsidR="00EF4BEC" w:rsidRDefault="009E2ACD">
            <w:pPr>
              <w:spacing w:line="240" w:lineRule="auto"/>
              <w:jc w:val="center"/>
              <w:rPr>
                <w:b/>
                <w:color w:val="FF0000"/>
                <w:sz w:val="18"/>
              </w:rPr>
            </w:pPr>
            <w:r>
              <w:rPr>
                <w:b/>
                <w:color w:val="FF0000"/>
                <w:sz w:val="18"/>
              </w:rPr>
              <w:t>Lu</w:t>
            </w:r>
            <w:r>
              <w:rPr>
                <w:b/>
                <w:color w:val="FF000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FCA3C5C" w14:textId="77777777" w:rsidR="00EF4BEC" w:rsidRDefault="009E2ACD">
            <w:pPr>
              <w:spacing w:line="240" w:lineRule="auto"/>
              <w:jc w:val="center"/>
              <w:rPr>
                <w:b/>
                <w:color w:val="FF0000"/>
                <w:sz w:val="18"/>
              </w:rPr>
            </w:pPr>
            <w:r>
              <w:rPr>
                <w:b/>
                <w:color w:val="FF0000"/>
                <w:sz w:val="18"/>
              </w:rPr>
              <w:t>Lu3</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C7A588E" w14:textId="77777777" w:rsidR="00EF4BEC" w:rsidRDefault="009E2ACD">
            <w:pPr>
              <w:spacing w:line="240" w:lineRule="auto"/>
              <w:jc w:val="center"/>
              <w:rPr>
                <w:b/>
                <w:color w:val="FF0000"/>
                <w:sz w:val="18"/>
              </w:rPr>
            </w:pPr>
            <w:r>
              <w:rPr>
                <w:b/>
                <w:color w:val="FF0000"/>
                <w:sz w:val="18"/>
              </w:rPr>
              <w:t>Lu4</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CA43632" w14:textId="77777777" w:rsidR="00EF4BEC" w:rsidRDefault="009E2ACD">
            <w:pPr>
              <w:spacing w:line="240" w:lineRule="auto"/>
              <w:jc w:val="center"/>
              <w:rPr>
                <w:b/>
                <w:color w:val="FF0000"/>
                <w:sz w:val="18"/>
              </w:rPr>
            </w:pPr>
            <w:r>
              <w:rPr>
                <w:b/>
                <w:color w:val="FF0000"/>
                <w:sz w:val="18"/>
              </w:rPr>
              <w:t>Lu5</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2C00AAF" w14:textId="77777777" w:rsidR="00EF4BEC" w:rsidRDefault="009E2ACD">
            <w:pPr>
              <w:spacing w:line="240" w:lineRule="auto"/>
              <w:jc w:val="center"/>
              <w:rPr>
                <w:b/>
                <w:color w:val="FF0000"/>
                <w:sz w:val="18"/>
              </w:rPr>
            </w:pPr>
            <w:r>
              <w:rPr>
                <w:b/>
                <w:color w:val="FF0000"/>
                <w:sz w:val="18"/>
              </w:rPr>
              <w:t>Lu6</w:t>
            </w: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C66B26A" w14:textId="77777777" w:rsidR="00EF4BEC" w:rsidRDefault="009E2ACD">
            <w:pPr>
              <w:spacing w:line="240" w:lineRule="auto"/>
              <w:jc w:val="center"/>
              <w:rPr>
                <w:b/>
                <w:color w:val="FF0000"/>
                <w:sz w:val="18"/>
              </w:rPr>
            </w:pPr>
            <w:r>
              <w:rPr>
                <w:b/>
                <w:color w:val="FF0000"/>
                <w:sz w:val="18"/>
              </w:rPr>
              <w:t>Lu7</w:t>
            </w: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6AD77A5A" w14:textId="77777777" w:rsidR="00EF4BEC" w:rsidRDefault="009E2ACD">
            <w:pPr>
              <w:spacing w:line="240" w:lineRule="auto"/>
              <w:jc w:val="center"/>
              <w:rPr>
                <w:b/>
                <w:color w:val="FF0000"/>
                <w:sz w:val="18"/>
              </w:rPr>
            </w:pPr>
            <w:r>
              <w:rPr>
                <w:b/>
                <w:color w:val="FF0000"/>
                <w:sz w:val="18"/>
              </w:rPr>
              <w:t>Lu8</w:t>
            </w: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677DB379" w14:textId="77777777" w:rsidR="00EF4BEC" w:rsidRDefault="009E2ACD">
            <w:pPr>
              <w:jc w:val="center"/>
              <w:rPr>
                <w:b/>
                <w:color w:val="FF0000"/>
                <w:sz w:val="18"/>
              </w:rPr>
            </w:pPr>
            <w:r>
              <w:rPr>
                <w:rFonts w:eastAsia="Times New Roman"/>
                <w:b/>
                <w:color w:val="FF0000"/>
                <w:sz w:val="18"/>
                <w:lang w:eastAsia="de-CH"/>
              </w:rPr>
              <w:t>Lu9</w:t>
            </w: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5C5B0EA2" w14:textId="77777777" w:rsidR="00EF4BEC" w:rsidRDefault="009E2ACD">
            <w:pPr>
              <w:jc w:val="center"/>
              <w:rPr>
                <w:b/>
                <w:color w:val="FF0000"/>
                <w:sz w:val="18"/>
              </w:rPr>
            </w:pPr>
            <w:r>
              <w:rPr>
                <w:rFonts w:eastAsia="Times New Roman"/>
                <w:b/>
                <w:color w:val="FF0000"/>
                <w:sz w:val="18"/>
                <w:lang w:eastAsia="de-CH"/>
              </w:rPr>
              <w:t>…</w:t>
            </w: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2C4D4959" w14:textId="77777777" w:rsidR="00EF4BEC" w:rsidRDefault="009E2ACD">
            <w:pPr>
              <w:jc w:val="center"/>
              <w:rPr>
                <w:b/>
                <w:color w:val="FF0000"/>
                <w:sz w:val="18"/>
              </w:rPr>
            </w:pPr>
            <w:r>
              <w:rPr>
                <w:rFonts w:eastAsia="Times New Roman"/>
                <w:b/>
                <w:color w:val="FF0000"/>
                <w:sz w:val="18"/>
                <w:lang w:eastAsia="de-CH"/>
              </w:rPr>
              <w:t>Lu11</w:t>
            </w: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2C03B5C6" w14:textId="77777777" w:rsidR="00EF4BEC" w:rsidRDefault="009E2ACD">
            <w:pPr>
              <w:jc w:val="center"/>
              <w:rPr>
                <w:rFonts w:eastAsia="Times New Roman"/>
                <w:b/>
                <w:color w:val="FF0000"/>
                <w:sz w:val="18"/>
                <w:lang w:eastAsia="de-CH"/>
              </w:rPr>
            </w:pPr>
            <w:r>
              <w:rPr>
                <w:rFonts w:eastAsia="Times New Roman"/>
                <w:b/>
                <w:color w:val="FF0000"/>
                <w:sz w:val="18"/>
                <w:lang w:eastAsia="de-CH"/>
              </w:rPr>
              <w:t>Lu12</w:t>
            </w: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256129A0" w14:textId="77777777" w:rsidR="00EF4BEC" w:rsidRDefault="009E2ACD">
            <w:pPr>
              <w:jc w:val="center"/>
              <w:rPr>
                <w:rFonts w:eastAsia="Times New Roman"/>
                <w:b/>
                <w:color w:val="FF0000"/>
                <w:sz w:val="18"/>
                <w:lang w:eastAsia="de-CH"/>
              </w:rPr>
            </w:pPr>
            <w:r>
              <w:rPr>
                <w:rFonts w:eastAsia="Times New Roman"/>
                <w:b/>
                <w:color w:val="FF0000"/>
                <w:sz w:val="18"/>
                <w:lang w:eastAsia="de-CH"/>
              </w:rPr>
              <w:t>27</w:t>
            </w:r>
          </w:p>
        </w:tc>
      </w:tr>
      <w:tr w:rsidR="00EF4BEC" w14:paraId="46D0B0F6" w14:textId="77777777">
        <w:trPr>
          <w:trHeight w:val="446"/>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1570A716" w14:textId="77777777" w:rsidR="00EF4BEC" w:rsidRDefault="009E2ACD">
            <w:pPr>
              <w:spacing w:line="240" w:lineRule="auto"/>
              <w:jc w:val="center"/>
              <w:rPr>
                <w:b/>
                <w:color w:val="000000"/>
                <w:sz w:val="18"/>
              </w:rPr>
            </w:pPr>
            <w:r>
              <w:rPr>
                <w:b/>
                <w:color w:val="000000"/>
                <w:sz w:val="18"/>
              </w:rPr>
              <w:t>006</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DC6A693" w14:textId="77777777" w:rsidR="00EF4BEC" w:rsidRDefault="009E2ACD">
            <w:pPr>
              <w:spacing w:line="240" w:lineRule="auto"/>
              <w:jc w:val="center"/>
              <w:rPr>
                <w:b/>
                <w:color w:val="000000"/>
                <w:sz w:val="18"/>
              </w:rPr>
            </w:pPr>
            <w:r>
              <w:rPr>
                <w:b/>
                <w:color w:val="000000"/>
                <w:sz w:val="18"/>
              </w:rPr>
              <w:t>KEL</w:t>
            </w:r>
            <w:r>
              <w:rPr>
                <w:rFonts w:eastAsia="Times New Roman"/>
                <w:b/>
                <w:color w:val="000000"/>
                <w:sz w:val="18"/>
                <w:lang w:eastAsia="de-CH"/>
              </w:rPr>
              <w:t xml:space="preserve"> (Kell)</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8F115FD" w14:textId="77777777" w:rsidR="00EF4BEC" w:rsidRDefault="009E2ACD">
            <w:pPr>
              <w:spacing w:line="240" w:lineRule="auto"/>
              <w:jc w:val="center"/>
              <w:rPr>
                <w:b/>
                <w:color w:val="0070C0"/>
                <w:sz w:val="18"/>
              </w:rPr>
            </w:pPr>
            <w:r>
              <w:rPr>
                <w:b/>
                <w:color w:val="0070C0"/>
                <w:sz w:val="18"/>
              </w:rPr>
              <w:t>K</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3E57AC8" w14:textId="77777777" w:rsidR="00EF4BEC" w:rsidRDefault="009E2ACD">
            <w:pPr>
              <w:spacing w:line="240" w:lineRule="auto"/>
              <w:jc w:val="center"/>
              <w:rPr>
                <w:b/>
                <w:color w:val="FF0000"/>
                <w:sz w:val="18"/>
              </w:rPr>
            </w:pPr>
            <w:r>
              <w:rPr>
                <w:b/>
                <w:color w:val="FF0000"/>
                <w:sz w:val="18"/>
              </w:rPr>
              <w:t>k</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5A40567" w14:textId="77777777" w:rsidR="00EF4BEC" w:rsidRDefault="009E2ACD">
            <w:pPr>
              <w:spacing w:line="240" w:lineRule="auto"/>
              <w:jc w:val="center"/>
              <w:rPr>
                <w:b/>
                <w:color w:val="00B050"/>
                <w:sz w:val="18"/>
              </w:rPr>
            </w:pPr>
            <w:r>
              <w:rPr>
                <w:b/>
                <w:color w:val="00B050"/>
                <w:sz w:val="18"/>
              </w:rPr>
              <w:t>Kp</w:t>
            </w:r>
            <w:r>
              <w:rPr>
                <w:b/>
                <w:color w:val="00B050"/>
                <w:sz w:val="18"/>
                <w:vertAlign w:val="superscript"/>
              </w:rPr>
              <w:t>a</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070037A" w14:textId="77777777" w:rsidR="00EF4BEC" w:rsidRDefault="009E2ACD">
            <w:pPr>
              <w:spacing w:line="240" w:lineRule="auto"/>
              <w:jc w:val="center"/>
              <w:rPr>
                <w:b/>
                <w:color w:val="FF0000"/>
                <w:sz w:val="18"/>
              </w:rPr>
            </w:pPr>
            <w:r>
              <w:rPr>
                <w:b/>
                <w:color w:val="FF0000"/>
                <w:sz w:val="18"/>
              </w:rPr>
              <w:t>Kp</w:t>
            </w:r>
            <w:r>
              <w:rPr>
                <w:b/>
                <w:color w:val="FF0000"/>
                <w:sz w:val="18"/>
                <w:vertAlign w:val="superscript"/>
              </w:rPr>
              <w:t>b</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4424EF6" w14:textId="77777777" w:rsidR="00EF4BEC" w:rsidRDefault="009E2ACD">
            <w:pPr>
              <w:spacing w:line="240" w:lineRule="auto"/>
              <w:jc w:val="center"/>
              <w:rPr>
                <w:b/>
                <w:color w:val="FF0000"/>
                <w:sz w:val="18"/>
              </w:rPr>
            </w:pPr>
            <w:r>
              <w:rPr>
                <w:b/>
                <w:color w:val="FF0000"/>
                <w:sz w:val="18"/>
              </w:rPr>
              <w:t>Ku</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EDC25EF" w14:textId="77777777" w:rsidR="00EF4BEC" w:rsidRDefault="009E2ACD">
            <w:pPr>
              <w:spacing w:line="240" w:lineRule="auto"/>
              <w:jc w:val="center"/>
              <w:rPr>
                <w:b/>
                <w:color w:val="00B050"/>
                <w:sz w:val="18"/>
              </w:rPr>
            </w:pPr>
            <w:r>
              <w:rPr>
                <w:b/>
                <w:color w:val="00B050"/>
                <w:sz w:val="18"/>
              </w:rPr>
              <w:t>Js</w:t>
            </w:r>
            <w:r>
              <w:rPr>
                <w:b/>
                <w:color w:val="00B050"/>
                <w:sz w:val="18"/>
                <w:vertAlign w:val="superscript"/>
              </w:rPr>
              <w:t>a</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EA81153" w14:textId="77777777" w:rsidR="00EF4BEC" w:rsidRDefault="009E2ACD">
            <w:pPr>
              <w:spacing w:line="240" w:lineRule="auto"/>
              <w:jc w:val="center"/>
              <w:rPr>
                <w:b/>
                <w:color w:val="FF0000"/>
                <w:sz w:val="18"/>
              </w:rPr>
            </w:pPr>
            <w:r>
              <w:rPr>
                <w:b/>
                <w:color w:val="FF0000"/>
                <w:sz w:val="18"/>
              </w:rPr>
              <w:t>Js</w:t>
            </w:r>
            <w:r>
              <w:rPr>
                <w:b/>
                <w:color w:val="FF0000"/>
                <w:sz w:val="18"/>
                <w:vertAlign w:val="superscript"/>
              </w:rPr>
              <w:t>b</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20AD6C47" w14:textId="77777777" w:rsidR="00EF4BEC" w:rsidRDefault="009E2ACD">
            <w:pPr>
              <w:spacing w:line="240" w:lineRule="auto"/>
              <w:jc w:val="center"/>
              <w:rPr>
                <w:b/>
                <w:color w:val="000000"/>
                <w:sz w:val="18"/>
              </w:rPr>
            </w:pPr>
            <w:r>
              <w:rPr>
                <w:b/>
                <w:color w:val="000000"/>
                <w:sz w:val="18"/>
              </w:rPr>
              <w:t>…</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81FB271" w14:textId="77777777" w:rsidR="00EF4BEC" w:rsidRDefault="009E2ACD">
            <w:pPr>
              <w:jc w:val="center"/>
              <w:rPr>
                <w:b/>
                <w:color w:val="000000"/>
                <w:sz w:val="18"/>
              </w:rPr>
            </w:pPr>
            <w:r>
              <w:rPr>
                <w:rFonts w:eastAsia="Times New Roman"/>
                <w:b/>
                <w:color w:val="000000"/>
                <w:sz w:val="18"/>
                <w:lang w:eastAsia="de-CH"/>
              </w:rPr>
              <w:t>…</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30D59F1" w14:textId="77777777" w:rsidR="00EF4BEC" w:rsidRDefault="009E2ACD">
            <w:pPr>
              <w:jc w:val="center"/>
              <w:rPr>
                <w:b/>
                <w:color w:val="000000"/>
                <w:sz w:val="18"/>
              </w:rPr>
            </w:pPr>
            <w:r>
              <w:rPr>
                <w:rFonts w:eastAsia="Times New Roman"/>
                <w:b/>
                <w:color w:val="000000"/>
                <w:sz w:val="18"/>
                <w:lang w:eastAsia="de-CH"/>
              </w:rPr>
              <w:t>UI</w:t>
            </w:r>
            <w:r>
              <w:rPr>
                <w:rFonts w:eastAsia="Times New Roman"/>
                <w:b/>
                <w:color w:val="000000"/>
                <w:sz w:val="18"/>
                <w:vertAlign w:val="superscript"/>
                <w:lang w:eastAsia="de-CH"/>
              </w:rPr>
              <w:t>a</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22403191" w14:textId="77777777" w:rsidR="00EF4BEC" w:rsidRDefault="009E2ACD">
            <w:pPr>
              <w:jc w:val="center"/>
              <w:rPr>
                <w:b/>
                <w:color w:val="000000"/>
                <w:sz w:val="18"/>
              </w:rPr>
            </w:pPr>
            <w:r>
              <w:rPr>
                <w:rFonts w:eastAsia="Times New Roman"/>
                <w:b/>
                <w:color w:val="000000"/>
                <w:sz w:val="18"/>
                <w:lang w:eastAsia="de-CH"/>
              </w:rPr>
              <w:t>K11</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13BA584D" w14:textId="77777777" w:rsidR="00EF4BEC" w:rsidRDefault="009E2ACD">
            <w:pPr>
              <w:jc w:val="center"/>
              <w:rPr>
                <w:rFonts w:eastAsia="Times New Roman"/>
                <w:b/>
                <w:color w:val="000000"/>
                <w:sz w:val="18"/>
                <w:lang w:eastAsia="de-CH"/>
              </w:rPr>
            </w:pPr>
            <w:r>
              <w:rPr>
                <w:rFonts w:eastAsia="Times New Roman"/>
                <w:b/>
                <w:color w:val="000000"/>
                <w:sz w:val="18"/>
                <w:lang w:eastAsia="de-CH"/>
              </w:rPr>
              <w:t>K12</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6EDA4688" w14:textId="77777777" w:rsidR="00EF4BEC" w:rsidRDefault="009E2ACD">
            <w:pPr>
              <w:jc w:val="center"/>
              <w:rPr>
                <w:rFonts w:eastAsia="Times New Roman"/>
                <w:b/>
                <w:color w:val="000000"/>
                <w:sz w:val="18"/>
                <w:lang w:eastAsia="de-CH"/>
              </w:rPr>
            </w:pPr>
            <w:r>
              <w:rPr>
                <w:rFonts w:eastAsia="Times New Roman"/>
                <w:b/>
                <w:color w:val="000000"/>
                <w:sz w:val="18"/>
                <w:lang w:eastAsia="de-CH"/>
              </w:rPr>
              <w:t>36</w:t>
            </w:r>
          </w:p>
        </w:tc>
      </w:tr>
      <w:tr w:rsidR="00EF4BEC" w14:paraId="6CB23F8F" w14:textId="77777777">
        <w:trPr>
          <w:trHeight w:val="439"/>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4F21BA63" w14:textId="77777777" w:rsidR="00EF4BEC" w:rsidRDefault="009E2ACD">
            <w:pPr>
              <w:spacing w:line="240" w:lineRule="auto"/>
              <w:jc w:val="center"/>
              <w:rPr>
                <w:b/>
                <w:color w:val="000000"/>
                <w:sz w:val="18"/>
              </w:rPr>
            </w:pPr>
            <w:r>
              <w:rPr>
                <w:b/>
                <w:color w:val="000000"/>
                <w:sz w:val="18"/>
              </w:rPr>
              <w:t>007</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BF84CD1" w14:textId="77777777" w:rsidR="00EF4BEC" w:rsidRDefault="009E2ACD">
            <w:pPr>
              <w:spacing w:line="240" w:lineRule="auto"/>
              <w:jc w:val="center"/>
              <w:rPr>
                <w:b/>
                <w:color w:val="000000"/>
                <w:sz w:val="18"/>
              </w:rPr>
            </w:pPr>
            <w:r>
              <w:rPr>
                <w:b/>
                <w:color w:val="000000"/>
                <w:sz w:val="18"/>
              </w:rPr>
              <w:t>LE</w:t>
            </w:r>
            <w:r>
              <w:rPr>
                <w:rFonts w:eastAsia="Times New Roman"/>
                <w:b/>
                <w:color w:val="000000"/>
                <w:sz w:val="18"/>
                <w:lang w:eastAsia="de-CH"/>
              </w:rPr>
              <w:t xml:space="preserve"> (Lewis)</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FA7DA7F" w14:textId="77777777" w:rsidR="00EF4BEC" w:rsidRDefault="009E2ACD">
            <w:pPr>
              <w:spacing w:line="240" w:lineRule="auto"/>
              <w:jc w:val="center"/>
              <w:rPr>
                <w:b/>
                <w:color w:val="0070C0"/>
                <w:sz w:val="18"/>
              </w:rPr>
            </w:pPr>
            <w:r>
              <w:rPr>
                <w:b/>
                <w:color w:val="0070C0"/>
                <w:sz w:val="18"/>
              </w:rPr>
              <w:t>Le</w:t>
            </w:r>
            <w:r>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5761B8B" w14:textId="77777777" w:rsidR="00EF4BEC" w:rsidRDefault="009E2ACD">
            <w:pPr>
              <w:spacing w:line="240" w:lineRule="auto"/>
              <w:jc w:val="center"/>
              <w:rPr>
                <w:b/>
                <w:color w:val="0070C0"/>
                <w:sz w:val="18"/>
              </w:rPr>
            </w:pPr>
            <w:r>
              <w:rPr>
                <w:b/>
                <w:color w:val="0070C0"/>
                <w:sz w:val="18"/>
              </w:rPr>
              <w:t>Le</w:t>
            </w:r>
            <w:r>
              <w:rPr>
                <w:b/>
                <w:color w:val="0070C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F0B826E" w14:textId="77777777" w:rsidR="00EF4BEC" w:rsidRDefault="009E2ACD">
            <w:pPr>
              <w:spacing w:line="240" w:lineRule="auto"/>
              <w:jc w:val="center"/>
              <w:rPr>
                <w:b/>
                <w:color w:val="0070C0"/>
                <w:sz w:val="18"/>
              </w:rPr>
            </w:pPr>
            <w:r>
              <w:rPr>
                <w:b/>
                <w:color w:val="0070C0"/>
                <w:sz w:val="18"/>
              </w:rPr>
              <w:t>Le</w:t>
            </w:r>
            <w:r>
              <w:rPr>
                <w:b/>
                <w:color w:val="0070C0"/>
                <w:sz w:val="18"/>
                <w:vertAlign w:val="superscript"/>
              </w:rPr>
              <w:t>ab</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797951E" w14:textId="77777777" w:rsidR="00EF4BEC" w:rsidRDefault="009E2ACD">
            <w:pPr>
              <w:spacing w:line="240" w:lineRule="auto"/>
              <w:jc w:val="center"/>
              <w:rPr>
                <w:b/>
                <w:color w:val="0070C0"/>
                <w:sz w:val="18"/>
              </w:rPr>
            </w:pPr>
            <w:r>
              <w:rPr>
                <w:b/>
                <w:color w:val="0070C0"/>
                <w:sz w:val="18"/>
              </w:rPr>
              <w:t>Le</w:t>
            </w:r>
            <w:r>
              <w:rPr>
                <w:b/>
                <w:color w:val="0070C0"/>
                <w:sz w:val="18"/>
                <w:vertAlign w:val="superscript"/>
              </w:rPr>
              <w:t>bH</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D4093F6" w14:textId="77777777" w:rsidR="00EF4BEC" w:rsidRDefault="009E2ACD">
            <w:pPr>
              <w:spacing w:line="240" w:lineRule="auto"/>
              <w:jc w:val="center"/>
              <w:rPr>
                <w:b/>
                <w:color w:val="0070C0"/>
                <w:sz w:val="18"/>
              </w:rPr>
            </w:pPr>
            <w:r>
              <w:rPr>
                <w:b/>
                <w:color w:val="0070C0"/>
                <w:sz w:val="18"/>
              </w:rPr>
              <w:t>ALe</w:t>
            </w:r>
            <w:r>
              <w:rPr>
                <w:b/>
                <w:color w:val="0070C0"/>
                <w:sz w:val="18"/>
                <w:vertAlign w:val="superscript"/>
              </w:rPr>
              <w:t>b</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1792C11" w14:textId="77777777" w:rsidR="00EF4BEC" w:rsidRDefault="009E2ACD">
            <w:pPr>
              <w:spacing w:line="240" w:lineRule="auto"/>
              <w:jc w:val="center"/>
              <w:rPr>
                <w:b/>
                <w:color w:val="0070C0"/>
                <w:sz w:val="18"/>
              </w:rPr>
            </w:pPr>
            <w:r>
              <w:rPr>
                <w:b/>
                <w:color w:val="0070C0"/>
                <w:sz w:val="18"/>
              </w:rPr>
              <w:t>BLe</w:t>
            </w:r>
            <w:r>
              <w:rPr>
                <w:b/>
                <w:color w:val="0070C0"/>
                <w:sz w:val="18"/>
                <w:vertAlign w:val="superscript"/>
              </w:rPr>
              <w:t>b</w:t>
            </w: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09C7101" w14:textId="77777777" w:rsidR="00EF4BEC" w:rsidRDefault="00EF4BEC">
            <w:pPr>
              <w:spacing w:line="240" w:lineRule="auto"/>
              <w:jc w:val="center"/>
              <w:rPr>
                <w:b/>
                <w:color w:val="0070C0"/>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0CA7EB43" w14:textId="77777777" w:rsidR="00EF4BEC" w:rsidRDefault="00EF4BEC">
            <w:pPr>
              <w:spacing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20F93027" w14:textId="77777777" w:rsidR="00EF4BEC" w:rsidRDefault="00EF4BEC">
            <w:pPr>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2B8F9BC" w14:textId="77777777" w:rsidR="00EF4BEC" w:rsidRDefault="00EF4BEC">
            <w:pPr>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5D516DE9" w14:textId="77777777" w:rsidR="00EF4BEC" w:rsidRDefault="00EF4BEC">
            <w:pPr>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7F26637" w14:textId="77777777" w:rsidR="00EF4BEC" w:rsidRDefault="00EF4BEC">
            <w:pPr>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4948109D" w14:textId="77777777" w:rsidR="00EF4BEC" w:rsidRDefault="009E2ACD">
            <w:pPr>
              <w:jc w:val="center"/>
              <w:rPr>
                <w:rFonts w:eastAsia="Times New Roman"/>
                <w:b/>
                <w:sz w:val="18"/>
                <w:lang w:eastAsia="de-CH"/>
              </w:rPr>
            </w:pPr>
            <w:r>
              <w:rPr>
                <w:rFonts w:eastAsia="Times New Roman"/>
                <w:b/>
                <w:sz w:val="18"/>
                <w:lang w:eastAsia="de-CH"/>
              </w:rPr>
              <w:t>6</w:t>
            </w:r>
          </w:p>
        </w:tc>
      </w:tr>
      <w:tr w:rsidR="00EF4BEC" w14:paraId="1B3B2778" w14:textId="77777777">
        <w:trPr>
          <w:trHeight w:val="43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0D3D39B4" w14:textId="77777777" w:rsidR="00EF4BEC" w:rsidRDefault="009E2ACD">
            <w:pPr>
              <w:spacing w:line="240" w:lineRule="auto"/>
              <w:jc w:val="center"/>
              <w:rPr>
                <w:b/>
                <w:color w:val="000000"/>
                <w:sz w:val="18"/>
              </w:rPr>
            </w:pPr>
            <w:r>
              <w:rPr>
                <w:b/>
                <w:color w:val="000000"/>
                <w:sz w:val="18"/>
              </w:rPr>
              <w:t>008</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0DB5F79" w14:textId="77777777" w:rsidR="00EF4BEC" w:rsidRDefault="009E2ACD">
            <w:pPr>
              <w:spacing w:line="240" w:lineRule="auto"/>
              <w:jc w:val="center"/>
              <w:rPr>
                <w:b/>
                <w:color w:val="000000"/>
                <w:sz w:val="18"/>
              </w:rPr>
            </w:pPr>
            <w:r>
              <w:rPr>
                <w:b/>
                <w:color w:val="000000"/>
                <w:sz w:val="18"/>
              </w:rPr>
              <w:t>FY</w:t>
            </w:r>
            <w:r>
              <w:rPr>
                <w:rFonts w:eastAsia="Times New Roman"/>
                <w:b/>
                <w:color w:val="000000"/>
                <w:sz w:val="18"/>
                <w:lang w:eastAsia="de-CH"/>
              </w:rPr>
              <w:t xml:space="preserve"> (Duffy)</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AEA5775" w14:textId="77777777" w:rsidR="00EF4BEC" w:rsidRDefault="009E2ACD">
            <w:pPr>
              <w:spacing w:line="240" w:lineRule="auto"/>
              <w:jc w:val="center"/>
              <w:rPr>
                <w:b/>
                <w:color w:val="0070C0"/>
                <w:sz w:val="18"/>
              </w:rPr>
            </w:pPr>
            <w:r>
              <w:rPr>
                <w:b/>
                <w:color w:val="0070C0"/>
                <w:sz w:val="18"/>
              </w:rPr>
              <w:t>Fy</w:t>
            </w:r>
            <w:r>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B2A0DAF" w14:textId="77777777" w:rsidR="00EF4BEC" w:rsidRDefault="009E2ACD">
            <w:pPr>
              <w:spacing w:line="240" w:lineRule="auto"/>
              <w:jc w:val="center"/>
              <w:rPr>
                <w:b/>
                <w:color w:val="0070C0"/>
                <w:sz w:val="18"/>
              </w:rPr>
            </w:pPr>
            <w:r>
              <w:rPr>
                <w:b/>
                <w:color w:val="0070C0"/>
                <w:sz w:val="18"/>
              </w:rPr>
              <w:t>Fy</w:t>
            </w:r>
            <w:r>
              <w:rPr>
                <w:b/>
                <w:color w:val="0070C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75B9A0F" w14:textId="77777777" w:rsidR="00EF4BEC" w:rsidRDefault="009E2ACD">
            <w:pPr>
              <w:spacing w:line="240" w:lineRule="auto"/>
              <w:jc w:val="center"/>
              <w:rPr>
                <w:b/>
                <w:color w:val="FF0000"/>
                <w:sz w:val="18"/>
              </w:rPr>
            </w:pPr>
            <w:r>
              <w:rPr>
                <w:b/>
                <w:color w:val="FF0000"/>
                <w:sz w:val="18"/>
              </w:rPr>
              <w:t>Fy3</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0322716" w14:textId="77777777" w:rsidR="00EF4BEC" w:rsidRDefault="009E2ACD">
            <w:pPr>
              <w:spacing w:line="240" w:lineRule="auto"/>
              <w:jc w:val="center"/>
              <w:rPr>
                <w:b/>
                <w:color w:val="000000"/>
                <w:sz w:val="18"/>
              </w:rPr>
            </w:pPr>
            <w:r>
              <w:rPr>
                <w:b/>
                <w:color w:val="000000"/>
                <w:sz w:val="18"/>
              </w:rPr>
              <w:t>…</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F125793" w14:textId="77777777" w:rsidR="00EF4BEC" w:rsidRDefault="009E2ACD">
            <w:pPr>
              <w:spacing w:line="240" w:lineRule="auto"/>
              <w:jc w:val="center"/>
              <w:rPr>
                <w:b/>
                <w:color w:val="FF0000"/>
                <w:sz w:val="18"/>
              </w:rPr>
            </w:pPr>
            <w:r>
              <w:rPr>
                <w:b/>
                <w:color w:val="FF0000"/>
                <w:sz w:val="18"/>
              </w:rPr>
              <w:t>Fy5</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DB68169" w14:textId="77777777" w:rsidR="00EF4BEC" w:rsidRDefault="009E2ACD">
            <w:pPr>
              <w:spacing w:line="240" w:lineRule="auto"/>
              <w:jc w:val="center"/>
              <w:rPr>
                <w:b/>
                <w:color w:val="FF0000"/>
                <w:sz w:val="18"/>
              </w:rPr>
            </w:pPr>
            <w:r>
              <w:rPr>
                <w:b/>
                <w:color w:val="FF0000"/>
                <w:sz w:val="18"/>
              </w:rPr>
              <w:t>Fy6</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D8F7F46" w14:textId="77777777" w:rsidR="00EF4BEC" w:rsidRDefault="00EF4BEC">
            <w:pPr>
              <w:spacing w:line="240" w:lineRule="auto"/>
              <w:jc w:val="center"/>
              <w:rPr>
                <w:b/>
                <w:color w:val="FF0000"/>
                <w:sz w:val="18"/>
              </w:rPr>
            </w:pP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45126A02" w14:textId="77777777" w:rsidR="00EF4BEC" w:rsidRDefault="00EF4BEC">
            <w:pPr>
              <w:spacing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6E79B6CD" w14:textId="77777777" w:rsidR="00EF4BEC" w:rsidRDefault="00EF4BEC">
            <w:pPr>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4E66BBC6" w14:textId="77777777" w:rsidR="00EF4BEC" w:rsidRDefault="00EF4BEC">
            <w:pPr>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563E8AF2" w14:textId="77777777" w:rsidR="00EF4BEC" w:rsidRDefault="00EF4BEC">
            <w:pPr>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86554F5" w14:textId="77777777" w:rsidR="00EF4BEC" w:rsidRDefault="00EF4BEC">
            <w:pPr>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22791C30" w14:textId="77777777" w:rsidR="00EF4BEC" w:rsidRDefault="009E2ACD">
            <w:pPr>
              <w:jc w:val="center"/>
              <w:rPr>
                <w:rFonts w:eastAsia="Times New Roman"/>
                <w:b/>
                <w:sz w:val="18"/>
                <w:lang w:eastAsia="de-CH"/>
              </w:rPr>
            </w:pPr>
            <w:r>
              <w:rPr>
                <w:rFonts w:eastAsia="Times New Roman"/>
                <w:b/>
                <w:sz w:val="18"/>
                <w:lang w:eastAsia="de-CH"/>
              </w:rPr>
              <w:t>5</w:t>
            </w:r>
          </w:p>
        </w:tc>
      </w:tr>
      <w:tr w:rsidR="00EF4BEC" w14:paraId="1E14357E" w14:textId="77777777">
        <w:trPr>
          <w:trHeight w:val="421"/>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4765EBC1" w14:textId="77777777" w:rsidR="00EF4BEC" w:rsidRDefault="009E2ACD">
            <w:pPr>
              <w:spacing w:line="240" w:lineRule="auto"/>
              <w:jc w:val="center"/>
              <w:rPr>
                <w:b/>
                <w:color w:val="000000"/>
                <w:sz w:val="18"/>
              </w:rPr>
            </w:pPr>
            <w:r>
              <w:rPr>
                <w:b/>
                <w:color w:val="000000"/>
                <w:sz w:val="18"/>
              </w:rPr>
              <w:t>009</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C1217B1" w14:textId="77777777" w:rsidR="00EF4BEC" w:rsidRDefault="009E2ACD">
            <w:pPr>
              <w:spacing w:line="240" w:lineRule="auto"/>
              <w:jc w:val="center"/>
              <w:rPr>
                <w:b/>
                <w:color w:val="000000"/>
                <w:sz w:val="18"/>
              </w:rPr>
            </w:pPr>
            <w:r>
              <w:rPr>
                <w:b/>
                <w:color w:val="000000"/>
                <w:sz w:val="18"/>
              </w:rPr>
              <w:t>JK</w:t>
            </w:r>
            <w:r>
              <w:rPr>
                <w:rFonts w:eastAsia="Times New Roman"/>
                <w:b/>
                <w:color w:val="000000"/>
                <w:sz w:val="18"/>
                <w:lang w:eastAsia="de-CH"/>
              </w:rPr>
              <w:t xml:space="preserve"> (Kidd)</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D23AD34" w14:textId="77777777" w:rsidR="00EF4BEC" w:rsidRDefault="009E2ACD">
            <w:pPr>
              <w:spacing w:line="240" w:lineRule="auto"/>
              <w:jc w:val="center"/>
              <w:rPr>
                <w:b/>
                <w:color w:val="0070C0"/>
                <w:sz w:val="18"/>
              </w:rPr>
            </w:pPr>
            <w:r>
              <w:rPr>
                <w:b/>
                <w:color w:val="0070C0"/>
                <w:sz w:val="18"/>
              </w:rPr>
              <w:t>Jk</w:t>
            </w:r>
            <w:r>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CB87DCD" w14:textId="77777777" w:rsidR="00EF4BEC" w:rsidRDefault="009E2ACD">
            <w:pPr>
              <w:spacing w:line="240" w:lineRule="auto"/>
              <w:jc w:val="center"/>
              <w:rPr>
                <w:b/>
                <w:color w:val="0070C0"/>
                <w:sz w:val="18"/>
              </w:rPr>
            </w:pPr>
            <w:r>
              <w:rPr>
                <w:b/>
                <w:color w:val="0070C0"/>
                <w:sz w:val="18"/>
              </w:rPr>
              <w:t>Jk</w:t>
            </w:r>
            <w:r>
              <w:rPr>
                <w:b/>
                <w:color w:val="0070C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CBF2079" w14:textId="77777777" w:rsidR="00EF4BEC" w:rsidRDefault="009E2ACD">
            <w:pPr>
              <w:spacing w:line="240" w:lineRule="auto"/>
              <w:jc w:val="center"/>
              <w:rPr>
                <w:b/>
                <w:color w:val="FF0000"/>
                <w:sz w:val="18"/>
              </w:rPr>
            </w:pPr>
            <w:r>
              <w:rPr>
                <w:b/>
                <w:color w:val="FF0000"/>
                <w:sz w:val="18"/>
              </w:rPr>
              <w:t>Jk3</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B4DBDAA" w14:textId="77777777" w:rsidR="00EF4BEC" w:rsidRDefault="00EF4BEC">
            <w:pPr>
              <w:spacing w:line="240" w:lineRule="auto"/>
              <w:jc w:val="center"/>
              <w:rPr>
                <w:b/>
                <w:color w:val="FF0000"/>
                <w:sz w:val="18"/>
              </w:rPr>
            </w:pP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071F868" w14:textId="77777777" w:rsidR="00EF4BEC" w:rsidRDefault="00EF4BEC">
            <w:pPr>
              <w:spacing w:line="240" w:lineRule="auto"/>
              <w:jc w:val="center"/>
              <w:rPr>
                <w:b/>
                <w:sz w:val="18"/>
              </w:rPr>
            </w:pP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F53527F" w14:textId="77777777" w:rsidR="00EF4BEC" w:rsidRDefault="00EF4BEC">
            <w:pPr>
              <w:spacing w:line="240" w:lineRule="auto"/>
              <w:jc w:val="center"/>
              <w:rPr>
                <w:b/>
                <w:sz w:val="18"/>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A90AC21" w14:textId="77777777" w:rsidR="00EF4BEC" w:rsidRDefault="00EF4BEC">
            <w:pPr>
              <w:spacing w:line="240" w:lineRule="auto"/>
              <w:jc w:val="center"/>
              <w:rPr>
                <w:b/>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0B2832BD" w14:textId="77777777" w:rsidR="00EF4BEC" w:rsidRDefault="00EF4BEC">
            <w:pPr>
              <w:spacing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202F3618" w14:textId="77777777" w:rsidR="00EF4BEC" w:rsidRDefault="00EF4BEC">
            <w:pPr>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4E3B061B" w14:textId="77777777" w:rsidR="00EF4BEC" w:rsidRDefault="00EF4BEC">
            <w:pPr>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496611A9" w14:textId="77777777" w:rsidR="00EF4BEC" w:rsidRDefault="00EF4BEC">
            <w:pPr>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6BC06C70" w14:textId="77777777" w:rsidR="00EF4BEC" w:rsidRDefault="00EF4BEC">
            <w:pPr>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500D020B" w14:textId="77777777" w:rsidR="00EF4BEC" w:rsidRDefault="009E2ACD">
            <w:pPr>
              <w:jc w:val="center"/>
              <w:rPr>
                <w:rFonts w:eastAsia="Times New Roman"/>
                <w:b/>
                <w:sz w:val="18"/>
                <w:lang w:eastAsia="de-CH"/>
              </w:rPr>
            </w:pPr>
            <w:r>
              <w:rPr>
                <w:rFonts w:eastAsia="Times New Roman"/>
                <w:b/>
                <w:sz w:val="18"/>
                <w:lang w:eastAsia="de-CH"/>
              </w:rPr>
              <w:t>3</w:t>
            </w:r>
          </w:p>
        </w:tc>
      </w:tr>
      <w:tr w:rsidR="00EF4BEC" w14:paraId="236E6183" w14:textId="77777777">
        <w:trPr>
          <w:trHeight w:val="42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0854DFEB" w14:textId="77777777" w:rsidR="00EF4BEC" w:rsidRDefault="009E2ACD">
            <w:pPr>
              <w:spacing w:line="240" w:lineRule="auto"/>
              <w:jc w:val="center"/>
              <w:rPr>
                <w:b/>
                <w:color w:val="000000"/>
                <w:sz w:val="18"/>
              </w:rPr>
            </w:pPr>
            <w:r>
              <w:rPr>
                <w:b/>
                <w:color w:val="000000"/>
                <w:sz w:val="18"/>
              </w:rPr>
              <w:t>010</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B1EF63D" w14:textId="77777777" w:rsidR="00EF4BEC" w:rsidRDefault="009E2ACD">
            <w:pPr>
              <w:spacing w:line="240" w:lineRule="auto"/>
              <w:jc w:val="center"/>
              <w:rPr>
                <w:b/>
                <w:color w:val="000000"/>
                <w:sz w:val="18"/>
              </w:rPr>
            </w:pPr>
            <w:r>
              <w:rPr>
                <w:b/>
                <w:color w:val="000000"/>
                <w:sz w:val="18"/>
              </w:rPr>
              <w:t>DI</w:t>
            </w:r>
            <w:r>
              <w:rPr>
                <w:rFonts w:eastAsia="Times New Roman"/>
                <w:b/>
                <w:color w:val="000000"/>
                <w:sz w:val="18"/>
                <w:lang w:eastAsia="de-CH"/>
              </w:rPr>
              <w:t xml:space="preserve"> (Diego) </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DD96105" w14:textId="77777777" w:rsidR="00EF4BEC" w:rsidRDefault="009E2ACD">
            <w:pPr>
              <w:spacing w:line="240" w:lineRule="auto"/>
              <w:jc w:val="center"/>
              <w:rPr>
                <w:b/>
                <w:color w:val="00B050"/>
                <w:sz w:val="18"/>
              </w:rPr>
            </w:pPr>
            <w:r>
              <w:rPr>
                <w:b/>
                <w:color w:val="00B050"/>
                <w:sz w:val="18"/>
              </w:rPr>
              <w:t>Di</w:t>
            </w:r>
            <w:r>
              <w:rPr>
                <w:b/>
                <w:color w:val="00B05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76BD503" w14:textId="77777777" w:rsidR="00EF4BEC" w:rsidRDefault="009E2ACD">
            <w:pPr>
              <w:spacing w:line="240" w:lineRule="auto"/>
              <w:jc w:val="center"/>
              <w:rPr>
                <w:b/>
                <w:color w:val="FF0000"/>
                <w:sz w:val="18"/>
              </w:rPr>
            </w:pPr>
            <w:r>
              <w:rPr>
                <w:b/>
                <w:color w:val="FF0000"/>
                <w:sz w:val="18"/>
              </w:rPr>
              <w:t>Di</w:t>
            </w:r>
            <w:r>
              <w:rPr>
                <w:b/>
                <w:color w:val="FF000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ED77F8C" w14:textId="77777777" w:rsidR="00EF4BEC" w:rsidRDefault="009E2ACD">
            <w:pPr>
              <w:spacing w:line="240" w:lineRule="auto"/>
              <w:jc w:val="center"/>
              <w:rPr>
                <w:b/>
                <w:color w:val="00B050"/>
                <w:sz w:val="18"/>
              </w:rPr>
            </w:pPr>
            <w:r>
              <w:rPr>
                <w:b/>
                <w:color w:val="00B050"/>
                <w:sz w:val="18"/>
              </w:rPr>
              <w:t>Wr</w:t>
            </w:r>
            <w:r>
              <w:rPr>
                <w:b/>
                <w:color w:val="00B050"/>
                <w:sz w:val="18"/>
                <w:vertAlign w:val="superscript"/>
              </w:rPr>
              <w:t>a</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C450530" w14:textId="77777777" w:rsidR="00EF4BEC" w:rsidRDefault="009E2ACD">
            <w:pPr>
              <w:spacing w:line="240" w:lineRule="auto"/>
              <w:jc w:val="center"/>
              <w:rPr>
                <w:b/>
                <w:color w:val="FF0000"/>
                <w:sz w:val="18"/>
              </w:rPr>
            </w:pPr>
            <w:r>
              <w:rPr>
                <w:b/>
                <w:color w:val="FF0000"/>
                <w:sz w:val="18"/>
              </w:rPr>
              <w:t>Wr</w:t>
            </w:r>
            <w:r>
              <w:rPr>
                <w:b/>
                <w:color w:val="FF0000"/>
                <w:sz w:val="18"/>
                <w:vertAlign w:val="superscript"/>
              </w:rPr>
              <w:t>b</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EE4C86C" w14:textId="77777777" w:rsidR="00EF4BEC" w:rsidRDefault="009E2ACD">
            <w:pPr>
              <w:spacing w:line="240" w:lineRule="auto"/>
              <w:jc w:val="center"/>
              <w:rPr>
                <w:b/>
                <w:color w:val="FF0000"/>
                <w:sz w:val="18"/>
              </w:rPr>
            </w:pPr>
            <w:r>
              <w:rPr>
                <w:rFonts w:eastAsia="Times New Roman"/>
                <w:b/>
                <w:color w:val="FF0000"/>
                <w:sz w:val="18"/>
                <w:lang w:eastAsia="de-CH"/>
              </w:rPr>
              <w:t>Wd</w:t>
            </w:r>
            <w:r>
              <w:rPr>
                <w:rFonts w:eastAsia="Times New Roman"/>
                <w:b/>
                <w:color w:val="FF0000"/>
                <w:sz w:val="18"/>
                <w:vertAlign w:val="superscript"/>
                <w:lang w:eastAsia="de-CH"/>
              </w:rPr>
              <w:t>a</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9E9A3BC" w14:textId="77777777" w:rsidR="00EF4BEC" w:rsidRDefault="009E2ACD">
            <w:pPr>
              <w:spacing w:line="240" w:lineRule="auto"/>
              <w:jc w:val="center"/>
              <w:rPr>
                <w:b/>
                <w:sz w:val="18"/>
              </w:rPr>
            </w:pPr>
            <w:r>
              <w:rPr>
                <w:rFonts w:eastAsia="Times New Roman"/>
                <w:b/>
                <w:sz w:val="18"/>
                <w:lang w:eastAsia="de-CH"/>
              </w:rPr>
              <w:t>Rb</w:t>
            </w:r>
            <w:r>
              <w:rPr>
                <w:rFonts w:eastAsia="Times New Roman"/>
                <w:b/>
                <w:sz w:val="18"/>
                <w:vertAlign w:val="superscript"/>
                <w:lang w:eastAsia="de-CH"/>
              </w:rPr>
              <w:t>a</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33B4E98" w14:textId="77777777" w:rsidR="00EF4BEC" w:rsidRDefault="009E2ACD">
            <w:pPr>
              <w:spacing w:line="240" w:lineRule="auto"/>
              <w:jc w:val="center"/>
              <w:rPr>
                <w:b/>
                <w:sz w:val="18"/>
              </w:rPr>
            </w:pPr>
            <w:r>
              <w:rPr>
                <w:rFonts w:eastAsia="Times New Roman"/>
                <w:b/>
                <w:sz w:val="18"/>
                <w:lang w:eastAsia="de-CH"/>
              </w:rPr>
              <w:t>WARR</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5542FB41" w14:textId="77777777" w:rsidR="00EF4BEC" w:rsidRDefault="009E2ACD">
            <w:pPr>
              <w:spacing w:line="240" w:lineRule="auto"/>
              <w:jc w:val="center"/>
              <w:rPr>
                <w:b/>
                <w:sz w:val="18"/>
              </w:rPr>
            </w:pPr>
            <w:r>
              <w:rPr>
                <w:rFonts w:eastAsia="Times New Roman"/>
                <w:b/>
                <w:sz w:val="18"/>
                <w:lang w:eastAsia="de-CH"/>
              </w:rPr>
              <w:t>ELO</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05ADC4E2" w14:textId="77777777" w:rsidR="00EF4BEC" w:rsidRDefault="009E2ACD">
            <w:pPr>
              <w:jc w:val="center"/>
              <w:rPr>
                <w:b/>
                <w:sz w:val="18"/>
              </w:rPr>
            </w:pPr>
            <w:r>
              <w:rPr>
                <w:rFonts w:eastAsia="Times New Roman"/>
                <w:b/>
                <w:sz w:val="18"/>
                <w:lang w:eastAsia="de-CH"/>
              </w:rPr>
              <w:t>Wu</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666C486" w14:textId="77777777" w:rsidR="00EF4BEC" w:rsidRDefault="009E2ACD">
            <w:pPr>
              <w:jc w:val="center"/>
              <w:rPr>
                <w:b/>
                <w:sz w:val="18"/>
              </w:rPr>
            </w:pPr>
            <w:r>
              <w:rPr>
                <w:rFonts w:eastAsia="Times New Roman"/>
                <w:b/>
                <w:sz w:val="18"/>
                <w:lang w:eastAsia="de-CH"/>
              </w:rPr>
              <w:t>Bp</w:t>
            </w:r>
            <w:r>
              <w:rPr>
                <w:rFonts w:eastAsia="Times New Roman"/>
                <w:b/>
                <w:sz w:val="18"/>
                <w:vertAlign w:val="superscript"/>
                <w:lang w:eastAsia="de-CH"/>
              </w:rPr>
              <w:t>a</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5F8E523F" w14:textId="77777777" w:rsidR="00EF4BEC" w:rsidRDefault="009E2ACD">
            <w:pPr>
              <w:jc w:val="center"/>
              <w:rPr>
                <w:b/>
                <w:sz w:val="18"/>
              </w:rPr>
            </w:pPr>
            <w:r>
              <w:rPr>
                <w:rFonts w:eastAsia="Times New Roman"/>
                <w:b/>
                <w:sz w:val="18"/>
                <w:lang w:eastAsia="de-CH"/>
              </w:rPr>
              <w:t>Mo</w:t>
            </w:r>
            <w:r>
              <w:rPr>
                <w:rFonts w:eastAsia="Times New Roman"/>
                <w:b/>
                <w:sz w:val="18"/>
                <w:vertAlign w:val="superscript"/>
                <w:lang w:eastAsia="de-CH"/>
              </w:rPr>
              <w:t>a</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1F6279B" w14:textId="77777777" w:rsidR="00EF4BEC" w:rsidRDefault="009E2ACD">
            <w:pPr>
              <w:jc w:val="center"/>
              <w:rPr>
                <w:rFonts w:eastAsia="Times New Roman"/>
                <w:b/>
                <w:sz w:val="18"/>
                <w:lang w:eastAsia="de-CH"/>
              </w:rPr>
            </w:pPr>
            <w:r>
              <w:rPr>
                <w:rFonts w:eastAsia="Times New Roman"/>
                <w:b/>
                <w:sz w:val="18"/>
                <w:lang w:eastAsia="de-CH"/>
              </w:rPr>
              <w:t>Hg</w:t>
            </w:r>
            <w:r>
              <w:rPr>
                <w:rFonts w:eastAsia="Times New Roman"/>
                <w:b/>
                <w:sz w:val="18"/>
                <w:vertAlign w:val="superscript"/>
                <w:lang w:eastAsia="de-CH"/>
              </w:rPr>
              <w:t>a</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0B5A54A8" w14:textId="77777777" w:rsidR="00EF4BEC" w:rsidRDefault="009E2ACD">
            <w:pPr>
              <w:jc w:val="center"/>
              <w:rPr>
                <w:rFonts w:eastAsia="Times New Roman"/>
                <w:b/>
                <w:sz w:val="18"/>
                <w:lang w:eastAsia="de-CH"/>
              </w:rPr>
            </w:pPr>
            <w:r>
              <w:rPr>
                <w:rFonts w:eastAsia="Times New Roman"/>
                <w:b/>
                <w:sz w:val="18"/>
                <w:lang w:eastAsia="de-CH"/>
              </w:rPr>
              <w:t>22</w:t>
            </w:r>
          </w:p>
        </w:tc>
      </w:tr>
    </w:tbl>
    <w:p w14:paraId="5C9FA612" w14:textId="77777777" w:rsidR="00EF4BEC" w:rsidRDefault="00EF4BEC">
      <w:pPr>
        <w:rPr>
          <w:rFonts w:cs="Arial"/>
          <w:lang w:val="it-IT"/>
        </w:rPr>
      </w:pPr>
    </w:p>
    <w:p w14:paraId="73B2E551" w14:textId="77777777" w:rsidR="00EF4BEC" w:rsidRDefault="009E2ACD">
      <w:pPr>
        <w:rPr>
          <w:rFonts w:cs="Arial"/>
        </w:rPr>
      </w:pPr>
      <w:r>
        <w:rPr>
          <w:rFonts w:cs="Arial"/>
          <w:vertAlign w:val="superscript"/>
          <w:lang w:val="it-IT"/>
        </w:rPr>
        <w:t>$</w:t>
      </w:r>
      <w:r>
        <w:rPr>
          <w:rFonts w:cs="Arial"/>
          <w:lang w:val="it-IT"/>
        </w:rPr>
        <w:t xml:space="preserve"> Le raccomandazioni non utilizzano la terminologia ISBT per il sistema dei gruppi sanguigni ABO. Ogni sistema di gruppi sanguigni è definito, da un lato, con il relativo numero ISBT e dall’altro con una combinazione di 2-4 lettere maiuscole (simbolo ISBT). Il sistema Kidd, ad esempio, contiene il simbolo ISBT JK e il numero ISBT 009. </w:t>
      </w:r>
      <w:r>
        <w:rPr>
          <w:rFonts w:cs="Arial"/>
        </w:rPr>
        <w:t>Nella nomenclatura ISBT l’antigene Jk</w:t>
      </w:r>
      <w:r>
        <w:rPr>
          <w:rFonts w:cs="Arial"/>
          <w:vertAlign w:val="superscript"/>
        </w:rPr>
        <w:t>b</w:t>
      </w:r>
      <w:r>
        <w:rPr>
          <w:rFonts w:cs="Arial"/>
        </w:rPr>
        <w:t xml:space="preserve"> è definito JK2.</w:t>
      </w:r>
    </w:p>
    <w:p w14:paraId="31143A08" w14:textId="77777777" w:rsidR="00EF4BEC" w:rsidRDefault="009E2ACD">
      <w:pPr>
        <w:rPr>
          <w:rFonts w:cs="Arial"/>
          <w:b/>
        </w:rPr>
      </w:pPr>
      <w:r>
        <w:rPr>
          <w:rFonts w:cs="Arial"/>
          <w:b/>
        </w:rPr>
        <w:t>Esempio 1</w:t>
      </w:r>
    </w:p>
    <w:tbl>
      <w:tblPr>
        <w:tblStyle w:val="Tabellenraster"/>
        <w:tblW w:w="9493" w:type="dxa"/>
        <w:tblLayout w:type="fixed"/>
        <w:tblLook w:val="04A0" w:firstRow="1" w:lastRow="0" w:firstColumn="1" w:lastColumn="0" w:noHBand="0" w:noVBand="1"/>
      </w:tblPr>
      <w:tblGrid>
        <w:gridCol w:w="3114"/>
        <w:gridCol w:w="3402"/>
        <w:gridCol w:w="2977"/>
      </w:tblGrid>
      <w:tr w:rsidR="00EF4BEC" w14:paraId="2B9544E4" w14:textId="77777777">
        <w:tc>
          <w:tcPr>
            <w:tcW w:w="3114" w:type="dxa"/>
            <w:shd w:val="clear" w:color="auto" w:fill="D9D9D9"/>
          </w:tcPr>
          <w:p w14:paraId="70030411" w14:textId="77777777" w:rsidR="00EF4BEC" w:rsidRDefault="00EF4BEC">
            <w:pPr>
              <w:rPr>
                <w:lang w:val="de-DE"/>
              </w:rPr>
            </w:pPr>
          </w:p>
        </w:tc>
        <w:tc>
          <w:tcPr>
            <w:tcW w:w="3402" w:type="dxa"/>
            <w:shd w:val="clear" w:color="auto" w:fill="D9D9D9"/>
          </w:tcPr>
          <w:p w14:paraId="3EC00519" w14:textId="77777777" w:rsidR="00EF4BEC" w:rsidRDefault="009E2ACD">
            <w:pPr>
              <w:rPr>
                <w:b/>
              </w:rPr>
            </w:pPr>
            <w:r>
              <w:rPr>
                <w:b/>
              </w:rPr>
              <w:t>Tradizionale</w:t>
            </w:r>
          </w:p>
        </w:tc>
        <w:tc>
          <w:tcPr>
            <w:tcW w:w="2977" w:type="dxa"/>
            <w:shd w:val="clear" w:color="auto" w:fill="D9D9D9"/>
          </w:tcPr>
          <w:p w14:paraId="679072E9" w14:textId="77777777" w:rsidR="00EF4BEC" w:rsidRDefault="009E2ACD">
            <w:pPr>
              <w:rPr>
                <w:b/>
              </w:rPr>
            </w:pPr>
            <w:r>
              <w:rPr>
                <w:b/>
                <w:lang w:val="de-DE"/>
              </w:rPr>
              <w:t>ISBT</w:t>
            </w:r>
          </w:p>
        </w:tc>
      </w:tr>
      <w:tr w:rsidR="00EF4BEC" w14:paraId="262EB144" w14:textId="77777777">
        <w:tc>
          <w:tcPr>
            <w:tcW w:w="3114" w:type="dxa"/>
          </w:tcPr>
          <w:p w14:paraId="1880960E" w14:textId="77777777" w:rsidR="00EF4BEC" w:rsidRDefault="009E2ACD">
            <w:pPr>
              <w:rPr>
                <w:b/>
              </w:rPr>
            </w:pPr>
            <w:r>
              <w:rPr>
                <w:b/>
                <w:lang w:val="de-DE"/>
              </w:rPr>
              <w:t>Antigene</w:t>
            </w:r>
          </w:p>
        </w:tc>
        <w:tc>
          <w:tcPr>
            <w:tcW w:w="3402" w:type="dxa"/>
          </w:tcPr>
          <w:p w14:paraId="1809458B" w14:textId="77777777" w:rsidR="00EF4BEC" w:rsidRDefault="009E2ACD">
            <w:pPr>
              <w:rPr>
                <w:lang w:val="de-DE"/>
              </w:rPr>
            </w:pPr>
            <w:r>
              <w:rPr>
                <w:lang w:val="de-DE"/>
              </w:rPr>
              <w:t>Fy</w:t>
            </w:r>
            <w:r>
              <w:rPr>
                <w:vertAlign w:val="superscript"/>
                <w:lang w:val="de-DE"/>
              </w:rPr>
              <w:t>a</w:t>
            </w:r>
          </w:p>
        </w:tc>
        <w:tc>
          <w:tcPr>
            <w:tcW w:w="2977" w:type="dxa"/>
          </w:tcPr>
          <w:p w14:paraId="36BDB0A6" w14:textId="77777777" w:rsidR="00EF4BEC" w:rsidRDefault="009E2ACD">
            <w:pPr>
              <w:rPr>
                <w:lang w:val="de-DE"/>
              </w:rPr>
            </w:pPr>
            <w:r>
              <w:rPr>
                <w:lang w:val="de-DE"/>
              </w:rPr>
              <w:t>FY1</w:t>
            </w:r>
          </w:p>
        </w:tc>
      </w:tr>
      <w:tr w:rsidR="00EF4BEC" w14:paraId="57B205F5" w14:textId="77777777">
        <w:tc>
          <w:tcPr>
            <w:tcW w:w="3114" w:type="dxa"/>
          </w:tcPr>
          <w:p w14:paraId="685332D3" w14:textId="77777777" w:rsidR="00EF4BEC" w:rsidRDefault="009E2ACD">
            <w:pPr>
              <w:jc w:val="both"/>
              <w:rPr>
                <w:b/>
              </w:rPr>
            </w:pPr>
            <w:r>
              <w:rPr>
                <w:b/>
              </w:rPr>
              <w:t>Fenotipo</w:t>
            </w:r>
          </w:p>
        </w:tc>
        <w:tc>
          <w:tcPr>
            <w:tcW w:w="3402" w:type="dxa"/>
          </w:tcPr>
          <w:p w14:paraId="5AD1C089" w14:textId="77777777" w:rsidR="00EF4BEC" w:rsidRDefault="009E2ACD">
            <w:pPr>
              <w:rPr>
                <w:lang w:val="de-DE"/>
              </w:rPr>
            </w:pPr>
            <w:r>
              <w:rPr>
                <w:lang w:val="de-DE"/>
              </w:rPr>
              <w:t>Fy(a+b–)</w:t>
            </w:r>
          </w:p>
        </w:tc>
        <w:tc>
          <w:tcPr>
            <w:tcW w:w="2977" w:type="dxa"/>
          </w:tcPr>
          <w:p w14:paraId="3BD43996" w14:textId="77777777" w:rsidR="00EF4BEC" w:rsidRDefault="009E2ACD">
            <w:pPr>
              <w:rPr>
                <w:lang w:val="de-DE"/>
              </w:rPr>
            </w:pPr>
            <w:r>
              <w:rPr>
                <w:lang w:val="de-DE"/>
              </w:rPr>
              <w:t>FY:1,–2</w:t>
            </w:r>
            <w:r>
              <w:rPr>
                <w:vertAlign w:val="superscript"/>
                <w:lang w:val="de-DE"/>
              </w:rPr>
              <w:t>$$</w:t>
            </w:r>
          </w:p>
        </w:tc>
      </w:tr>
      <w:tr w:rsidR="00EF4BEC" w14:paraId="7D49447C" w14:textId="77777777">
        <w:tc>
          <w:tcPr>
            <w:tcW w:w="3114" w:type="dxa"/>
          </w:tcPr>
          <w:p w14:paraId="639B795E" w14:textId="77777777" w:rsidR="00EF4BEC" w:rsidRDefault="009E2ACD">
            <w:pPr>
              <w:rPr>
                <w:b/>
              </w:rPr>
            </w:pPr>
            <w:r>
              <w:rPr>
                <w:b/>
                <w:lang w:val="de-DE"/>
              </w:rPr>
              <w:t>Allele</w:t>
            </w:r>
          </w:p>
        </w:tc>
        <w:tc>
          <w:tcPr>
            <w:tcW w:w="3402" w:type="dxa"/>
          </w:tcPr>
          <w:p w14:paraId="5E8C0488" w14:textId="77777777" w:rsidR="00EF4BEC" w:rsidRDefault="009E2ACD">
            <w:pPr>
              <w:rPr>
                <w:i/>
                <w:lang w:val="de-DE"/>
              </w:rPr>
            </w:pPr>
            <w:r>
              <w:rPr>
                <w:i/>
                <w:lang w:val="de-DE"/>
              </w:rPr>
              <w:t>Fy</w:t>
            </w:r>
            <w:r>
              <w:rPr>
                <w:i/>
                <w:vertAlign w:val="superscript"/>
                <w:lang w:val="de-DE"/>
              </w:rPr>
              <w:t>a</w:t>
            </w:r>
          </w:p>
        </w:tc>
        <w:tc>
          <w:tcPr>
            <w:tcW w:w="2977" w:type="dxa"/>
          </w:tcPr>
          <w:p w14:paraId="3C96B923" w14:textId="77777777" w:rsidR="00EF4BEC" w:rsidRDefault="009E2ACD">
            <w:pPr>
              <w:rPr>
                <w:lang w:val="de-DE"/>
              </w:rPr>
            </w:pPr>
            <w:r>
              <w:rPr>
                <w:i/>
                <w:lang w:val="de-DE"/>
              </w:rPr>
              <w:t>FY*01</w:t>
            </w:r>
            <w:r>
              <w:rPr>
                <w:lang w:val="de-DE"/>
              </w:rPr>
              <w:t xml:space="preserve"> </w:t>
            </w:r>
          </w:p>
        </w:tc>
      </w:tr>
      <w:tr w:rsidR="00EF4BEC" w14:paraId="7C643FBD" w14:textId="77777777">
        <w:tc>
          <w:tcPr>
            <w:tcW w:w="3114" w:type="dxa"/>
          </w:tcPr>
          <w:p w14:paraId="7ED541E7" w14:textId="77777777" w:rsidR="00EF4BEC" w:rsidRDefault="009E2ACD">
            <w:pPr>
              <w:rPr>
                <w:b/>
              </w:rPr>
            </w:pPr>
            <w:r>
              <w:rPr>
                <w:b/>
                <w:lang w:val="de-DE"/>
              </w:rPr>
              <w:t>Genotipo</w:t>
            </w:r>
          </w:p>
        </w:tc>
        <w:tc>
          <w:tcPr>
            <w:tcW w:w="3402" w:type="dxa"/>
          </w:tcPr>
          <w:p w14:paraId="564E3AAB" w14:textId="77777777" w:rsidR="00EF4BEC" w:rsidRDefault="009E2ACD">
            <w:pPr>
              <w:rPr>
                <w:lang w:val="de-DE"/>
              </w:rPr>
            </w:pPr>
            <w:r>
              <w:rPr>
                <w:i/>
                <w:lang w:val="de-DE"/>
              </w:rPr>
              <w:t>Fy</w:t>
            </w:r>
            <w:r>
              <w:rPr>
                <w:i/>
                <w:vertAlign w:val="superscript"/>
                <w:lang w:val="de-DE"/>
              </w:rPr>
              <w:t>a</w:t>
            </w:r>
            <w:r>
              <w:rPr>
                <w:i/>
                <w:lang w:val="de-DE"/>
              </w:rPr>
              <w:t xml:space="preserve"> Fy</w:t>
            </w:r>
            <w:r>
              <w:rPr>
                <w:i/>
                <w:vertAlign w:val="superscript"/>
                <w:lang w:val="de-DE"/>
              </w:rPr>
              <w:t>a</w:t>
            </w:r>
          </w:p>
        </w:tc>
        <w:tc>
          <w:tcPr>
            <w:tcW w:w="2977" w:type="dxa"/>
          </w:tcPr>
          <w:p w14:paraId="122DA6CA" w14:textId="77777777" w:rsidR="00EF4BEC" w:rsidRDefault="009E2ACD">
            <w:pPr>
              <w:rPr>
                <w:lang w:val="de-DE"/>
              </w:rPr>
            </w:pPr>
            <w:r>
              <w:rPr>
                <w:i/>
                <w:lang w:val="de-DE"/>
              </w:rPr>
              <w:t>FY*01/FY*01</w:t>
            </w:r>
          </w:p>
        </w:tc>
      </w:tr>
      <w:tr w:rsidR="00EF4BEC" w14:paraId="68CB2A24" w14:textId="77777777">
        <w:tc>
          <w:tcPr>
            <w:tcW w:w="3114" w:type="dxa"/>
          </w:tcPr>
          <w:p w14:paraId="2CEE23E2" w14:textId="77777777" w:rsidR="00EF4BEC" w:rsidRDefault="009E2ACD">
            <w:pPr>
              <w:jc w:val="both"/>
              <w:rPr>
                <w:b/>
              </w:rPr>
            </w:pPr>
            <w:r>
              <w:rPr>
                <w:b/>
              </w:rPr>
              <w:t>Anticorpo</w:t>
            </w:r>
          </w:p>
        </w:tc>
        <w:tc>
          <w:tcPr>
            <w:tcW w:w="3402" w:type="dxa"/>
          </w:tcPr>
          <w:p w14:paraId="46E35012" w14:textId="77777777" w:rsidR="00EF4BEC" w:rsidRDefault="009E2ACD">
            <w:pPr>
              <w:rPr>
                <w:lang w:val="de-DE"/>
              </w:rPr>
            </w:pPr>
            <w:r>
              <w:rPr>
                <w:lang w:val="de-DE"/>
              </w:rPr>
              <w:t>Anti-Fy</w:t>
            </w:r>
            <w:r>
              <w:rPr>
                <w:vertAlign w:val="superscript"/>
                <w:lang w:val="de-DE"/>
              </w:rPr>
              <w:t>a</w:t>
            </w:r>
          </w:p>
        </w:tc>
        <w:tc>
          <w:tcPr>
            <w:tcW w:w="2977" w:type="dxa"/>
          </w:tcPr>
          <w:p w14:paraId="19839A82" w14:textId="77777777" w:rsidR="00EF4BEC" w:rsidRDefault="009E2ACD">
            <w:pPr>
              <w:rPr>
                <w:lang w:val="de-DE"/>
              </w:rPr>
            </w:pPr>
            <w:r>
              <w:rPr>
                <w:lang w:val="de-DE"/>
              </w:rPr>
              <w:t>Anti-FY1</w:t>
            </w:r>
          </w:p>
        </w:tc>
      </w:tr>
    </w:tbl>
    <w:p w14:paraId="551C9AC4" w14:textId="77777777" w:rsidR="00EF4BEC" w:rsidRDefault="00EF4BEC">
      <w:pPr>
        <w:rPr>
          <w:rFonts w:cs="Arial"/>
          <w:b/>
        </w:rPr>
      </w:pPr>
    </w:p>
    <w:p w14:paraId="456A3C6D" w14:textId="77777777" w:rsidR="00EF4BEC" w:rsidRDefault="009E2ACD">
      <w:pPr>
        <w:rPr>
          <w:rFonts w:cs="Arial"/>
          <w:b/>
        </w:rPr>
      </w:pPr>
      <w:r>
        <w:rPr>
          <w:rFonts w:cs="Arial"/>
          <w:b/>
        </w:rPr>
        <w:t>Esempio 2</w:t>
      </w:r>
    </w:p>
    <w:tbl>
      <w:tblPr>
        <w:tblStyle w:val="Tabellenraster1"/>
        <w:tblW w:w="9493" w:type="dxa"/>
        <w:tblLayout w:type="fixed"/>
        <w:tblLook w:val="04A0" w:firstRow="1" w:lastRow="0" w:firstColumn="1" w:lastColumn="0" w:noHBand="0" w:noVBand="1"/>
      </w:tblPr>
      <w:tblGrid>
        <w:gridCol w:w="3114"/>
        <w:gridCol w:w="3402"/>
        <w:gridCol w:w="2977"/>
      </w:tblGrid>
      <w:tr w:rsidR="00EF4BEC" w14:paraId="73F60D48" w14:textId="77777777">
        <w:tc>
          <w:tcPr>
            <w:tcW w:w="3114" w:type="dxa"/>
            <w:shd w:val="clear" w:color="auto" w:fill="D9D9D9"/>
          </w:tcPr>
          <w:p w14:paraId="179CF8AB" w14:textId="77777777" w:rsidR="00EF4BEC" w:rsidRDefault="00EF4BEC">
            <w:pPr>
              <w:rPr>
                <w:b/>
              </w:rPr>
            </w:pPr>
          </w:p>
        </w:tc>
        <w:tc>
          <w:tcPr>
            <w:tcW w:w="3402" w:type="dxa"/>
            <w:shd w:val="clear" w:color="auto" w:fill="D9D9D9"/>
          </w:tcPr>
          <w:p w14:paraId="7BFC6E24" w14:textId="77777777" w:rsidR="00EF4BEC" w:rsidRDefault="009E2ACD">
            <w:pPr>
              <w:rPr>
                <w:b/>
              </w:rPr>
            </w:pPr>
            <w:r>
              <w:rPr>
                <w:b/>
              </w:rPr>
              <w:t>Tradizionale</w:t>
            </w:r>
          </w:p>
        </w:tc>
        <w:tc>
          <w:tcPr>
            <w:tcW w:w="2977" w:type="dxa"/>
            <w:shd w:val="clear" w:color="auto" w:fill="D9D9D9"/>
          </w:tcPr>
          <w:p w14:paraId="1E1A59DC" w14:textId="77777777" w:rsidR="00EF4BEC" w:rsidRDefault="009E2ACD">
            <w:pPr>
              <w:rPr>
                <w:b/>
              </w:rPr>
            </w:pPr>
            <w:r>
              <w:rPr>
                <w:b/>
                <w:lang w:val="de-DE"/>
              </w:rPr>
              <w:t>ISBT</w:t>
            </w:r>
          </w:p>
        </w:tc>
      </w:tr>
      <w:tr w:rsidR="00EF4BEC" w14:paraId="66B13338" w14:textId="77777777">
        <w:tc>
          <w:tcPr>
            <w:tcW w:w="3114" w:type="dxa"/>
          </w:tcPr>
          <w:p w14:paraId="4168847C" w14:textId="77777777" w:rsidR="00EF4BEC" w:rsidRDefault="009E2ACD">
            <w:pPr>
              <w:rPr>
                <w:b/>
              </w:rPr>
            </w:pPr>
            <w:r>
              <w:rPr>
                <w:b/>
                <w:lang w:val="de-DE"/>
              </w:rPr>
              <w:t>Antigene</w:t>
            </w:r>
          </w:p>
        </w:tc>
        <w:tc>
          <w:tcPr>
            <w:tcW w:w="3402" w:type="dxa"/>
          </w:tcPr>
          <w:p w14:paraId="61AF504D" w14:textId="77777777" w:rsidR="00EF4BEC" w:rsidRDefault="009E2ACD">
            <w:pPr>
              <w:rPr>
                <w:lang w:val="de-DE"/>
              </w:rPr>
            </w:pPr>
            <w:r>
              <w:rPr>
                <w:lang w:val="de-DE"/>
              </w:rPr>
              <w:t>K</w:t>
            </w:r>
          </w:p>
        </w:tc>
        <w:tc>
          <w:tcPr>
            <w:tcW w:w="2977" w:type="dxa"/>
          </w:tcPr>
          <w:p w14:paraId="1DA89036" w14:textId="77777777" w:rsidR="00EF4BEC" w:rsidRDefault="009E2ACD">
            <w:pPr>
              <w:rPr>
                <w:lang w:val="de-DE"/>
              </w:rPr>
            </w:pPr>
            <w:r>
              <w:rPr>
                <w:lang w:val="de-DE"/>
              </w:rPr>
              <w:t>KEL1</w:t>
            </w:r>
          </w:p>
        </w:tc>
      </w:tr>
      <w:tr w:rsidR="00EF4BEC" w14:paraId="3E20FA1C" w14:textId="77777777">
        <w:tc>
          <w:tcPr>
            <w:tcW w:w="3114" w:type="dxa"/>
          </w:tcPr>
          <w:p w14:paraId="3706CFC0" w14:textId="77777777" w:rsidR="00EF4BEC" w:rsidRDefault="009E2ACD">
            <w:pPr>
              <w:rPr>
                <w:b/>
              </w:rPr>
            </w:pPr>
            <w:r>
              <w:rPr>
                <w:b/>
                <w:lang w:val="de-DE"/>
              </w:rPr>
              <w:t>Fenotipo</w:t>
            </w:r>
          </w:p>
        </w:tc>
        <w:tc>
          <w:tcPr>
            <w:tcW w:w="3402" w:type="dxa"/>
          </w:tcPr>
          <w:p w14:paraId="1B5CBB84" w14:textId="77777777" w:rsidR="00EF4BEC" w:rsidRDefault="009E2ACD">
            <w:pPr>
              <w:rPr>
                <w:lang w:val="de-DE"/>
              </w:rPr>
            </w:pPr>
            <w:r>
              <w:rPr>
                <w:lang w:val="de-DE"/>
              </w:rPr>
              <w:t>K+k–</w:t>
            </w:r>
          </w:p>
        </w:tc>
        <w:tc>
          <w:tcPr>
            <w:tcW w:w="2977" w:type="dxa"/>
          </w:tcPr>
          <w:p w14:paraId="4F92645C" w14:textId="77777777" w:rsidR="00EF4BEC" w:rsidRDefault="009E2ACD">
            <w:pPr>
              <w:rPr>
                <w:lang w:val="de-DE"/>
              </w:rPr>
            </w:pPr>
            <w:r>
              <w:rPr>
                <w:lang w:val="de-DE"/>
              </w:rPr>
              <w:t>KEL:1,–2</w:t>
            </w:r>
            <w:r>
              <w:rPr>
                <w:vertAlign w:val="superscript"/>
                <w:lang w:val="de-DE"/>
              </w:rPr>
              <w:t>$$</w:t>
            </w:r>
          </w:p>
        </w:tc>
      </w:tr>
      <w:tr w:rsidR="00EF4BEC" w14:paraId="6A7A196B" w14:textId="77777777">
        <w:tc>
          <w:tcPr>
            <w:tcW w:w="3114" w:type="dxa"/>
          </w:tcPr>
          <w:p w14:paraId="1227D21A" w14:textId="77777777" w:rsidR="00EF4BEC" w:rsidRDefault="009E2ACD">
            <w:pPr>
              <w:rPr>
                <w:b/>
              </w:rPr>
            </w:pPr>
            <w:r>
              <w:rPr>
                <w:b/>
                <w:lang w:val="de-DE"/>
              </w:rPr>
              <w:t>Allele</w:t>
            </w:r>
          </w:p>
        </w:tc>
        <w:tc>
          <w:tcPr>
            <w:tcW w:w="3402" w:type="dxa"/>
          </w:tcPr>
          <w:p w14:paraId="1CB3DF54" w14:textId="77777777" w:rsidR="00EF4BEC" w:rsidRDefault="009E2ACD">
            <w:pPr>
              <w:rPr>
                <w:i/>
                <w:lang w:val="de-DE"/>
              </w:rPr>
            </w:pPr>
            <w:r>
              <w:rPr>
                <w:i/>
                <w:lang w:val="de-DE"/>
              </w:rPr>
              <w:t>K</w:t>
            </w:r>
          </w:p>
        </w:tc>
        <w:tc>
          <w:tcPr>
            <w:tcW w:w="2977" w:type="dxa"/>
          </w:tcPr>
          <w:p w14:paraId="3B8B4F9D" w14:textId="77777777" w:rsidR="00EF4BEC" w:rsidRDefault="009E2ACD">
            <w:pPr>
              <w:rPr>
                <w:lang w:val="de-DE"/>
              </w:rPr>
            </w:pPr>
            <w:r>
              <w:rPr>
                <w:i/>
                <w:lang w:val="de-DE"/>
              </w:rPr>
              <w:t>KEL*01</w:t>
            </w:r>
            <w:r>
              <w:rPr>
                <w:lang w:val="de-DE"/>
              </w:rPr>
              <w:t>.</w:t>
            </w:r>
            <w:r>
              <w:rPr>
                <w:i/>
                <w:lang w:val="de-DE"/>
              </w:rPr>
              <w:t>01</w:t>
            </w:r>
          </w:p>
        </w:tc>
      </w:tr>
      <w:tr w:rsidR="00EF4BEC" w14:paraId="027BE9E2" w14:textId="77777777">
        <w:tc>
          <w:tcPr>
            <w:tcW w:w="3114" w:type="dxa"/>
          </w:tcPr>
          <w:p w14:paraId="692E0079" w14:textId="77777777" w:rsidR="00EF4BEC" w:rsidRDefault="009E2ACD">
            <w:pPr>
              <w:rPr>
                <w:b/>
              </w:rPr>
            </w:pPr>
            <w:r>
              <w:rPr>
                <w:b/>
                <w:lang w:val="de-DE"/>
              </w:rPr>
              <w:t>Genotipo</w:t>
            </w:r>
          </w:p>
        </w:tc>
        <w:tc>
          <w:tcPr>
            <w:tcW w:w="3402" w:type="dxa"/>
          </w:tcPr>
          <w:p w14:paraId="24D523A9" w14:textId="77777777" w:rsidR="00EF4BEC" w:rsidRDefault="009E2ACD">
            <w:pPr>
              <w:rPr>
                <w:lang w:val="de-DE"/>
              </w:rPr>
            </w:pPr>
            <w:r>
              <w:rPr>
                <w:i/>
                <w:lang w:val="de-DE"/>
              </w:rPr>
              <w:t>KK</w:t>
            </w:r>
          </w:p>
        </w:tc>
        <w:tc>
          <w:tcPr>
            <w:tcW w:w="2977" w:type="dxa"/>
          </w:tcPr>
          <w:p w14:paraId="1FC5CDFB" w14:textId="77777777" w:rsidR="00EF4BEC" w:rsidRDefault="009E2ACD">
            <w:pPr>
              <w:rPr>
                <w:lang w:val="de-DE"/>
              </w:rPr>
            </w:pPr>
            <w:r>
              <w:rPr>
                <w:i/>
                <w:lang w:val="de-DE"/>
              </w:rPr>
              <w:t>KEL*01.01/KEL*01.01</w:t>
            </w:r>
          </w:p>
        </w:tc>
      </w:tr>
      <w:tr w:rsidR="00EF4BEC" w14:paraId="7CC329A2" w14:textId="77777777">
        <w:tc>
          <w:tcPr>
            <w:tcW w:w="3114" w:type="dxa"/>
          </w:tcPr>
          <w:p w14:paraId="66C83274" w14:textId="77777777" w:rsidR="00EF4BEC" w:rsidRDefault="009E2ACD">
            <w:pPr>
              <w:rPr>
                <w:b/>
              </w:rPr>
            </w:pPr>
            <w:r>
              <w:rPr>
                <w:b/>
                <w:lang w:val="de-DE"/>
              </w:rPr>
              <w:t>Anticorpo</w:t>
            </w:r>
          </w:p>
        </w:tc>
        <w:tc>
          <w:tcPr>
            <w:tcW w:w="3402" w:type="dxa"/>
          </w:tcPr>
          <w:p w14:paraId="2944848E" w14:textId="77777777" w:rsidR="00EF4BEC" w:rsidRDefault="009E2ACD">
            <w:pPr>
              <w:rPr>
                <w:lang w:val="de-DE"/>
              </w:rPr>
            </w:pPr>
            <w:r>
              <w:rPr>
                <w:lang w:val="de-DE"/>
              </w:rPr>
              <w:t>Anti-K</w:t>
            </w:r>
          </w:p>
        </w:tc>
        <w:tc>
          <w:tcPr>
            <w:tcW w:w="2977" w:type="dxa"/>
          </w:tcPr>
          <w:p w14:paraId="449E0218" w14:textId="77777777" w:rsidR="00EF4BEC" w:rsidRDefault="009E2ACD">
            <w:pPr>
              <w:rPr>
                <w:lang w:val="de-DE"/>
              </w:rPr>
            </w:pPr>
            <w:r>
              <w:rPr>
                <w:lang w:val="de-DE"/>
              </w:rPr>
              <w:t>Anti-KEL1</w:t>
            </w:r>
          </w:p>
        </w:tc>
      </w:tr>
    </w:tbl>
    <w:p w14:paraId="662120AA" w14:textId="77777777" w:rsidR="00EF4BEC" w:rsidRDefault="00EF4BEC">
      <w:pPr>
        <w:rPr>
          <w:rFonts w:cs="Arial"/>
          <w:b/>
        </w:rPr>
      </w:pPr>
    </w:p>
    <w:p w14:paraId="1FEEFA7E" w14:textId="77777777" w:rsidR="00EF4BEC" w:rsidRDefault="009E2ACD">
      <w:pPr>
        <w:rPr>
          <w:rFonts w:cs="Arial"/>
          <w:b/>
        </w:rPr>
      </w:pPr>
      <w:r>
        <w:rPr>
          <w:rFonts w:cs="Arial"/>
          <w:b/>
        </w:rPr>
        <w:t>Esempio 3</w:t>
      </w:r>
    </w:p>
    <w:tbl>
      <w:tblPr>
        <w:tblStyle w:val="Tabellenraster2"/>
        <w:tblW w:w="9493" w:type="dxa"/>
        <w:tblLayout w:type="fixed"/>
        <w:tblLook w:val="04A0" w:firstRow="1" w:lastRow="0" w:firstColumn="1" w:lastColumn="0" w:noHBand="0" w:noVBand="1"/>
      </w:tblPr>
      <w:tblGrid>
        <w:gridCol w:w="3114"/>
        <w:gridCol w:w="3463"/>
        <w:gridCol w:w="2916"/>
      </w:tblGrid>
      <w:tr w:rsidR="00EF4BEC" w14:paraId="4FD9238E" w14:textId="77777777">
        <w:tc>
          <w:tcPr>
            <w:tcW w:w="3114" w:type="dxa"/>
            <w:shd w:val="clear" w:color="auto" w:fill="D9D9D9"/>
          </w:tcPr>
          <w:p w14:paraId="2E0C7A5B" w14:textId="77777777" w:rsidR="00EF4BEC" w:rsidRDefault="00EF4BEC">
            <w:pPr>
              <w:rPr>
                <w:lang w:val="de-DE"/>
              </w:rPr>
            </w:pPr>
          </w:p>
        </w:tc>
        <w:tc>
          <w:tcPr>
            <w:tcW w:w="3463" w:type="dxa"/>
            <w:shd w:val="clear" w:color="auto" w:fill="D9D9D9"/>
          </w:tcPr>
          <w:p w14:paraId="2FBED2F2" w14:textId="77777777" w:rsidR="00EF4BEC" w:rsidRDefault="009E2ACD">
            <w:pPr>
              <w:rPr>
                <w:b/>
              </w:rPr>
            </w:pPr>
            <w:r>
              <w:rPr>
                <w:b/>
              </w:rPr>
              <w:t>Tradizionale</w:t>
            </w:r>
          </w:p>
        </w:tc>
        <w:tc>
          <w:tcPr>
            <w:tcW w:w="2916" w:type="dxa"/>
            <w:shd w:val="clear" w:color="auto" w:fill="D9D9D9"/>
          </w:tcPr>
          <w:p w14:paraId="46AF583E" w14:textId="77777777" w:rsidR="00EF4BEC" w:rsidRDefault="009E2ACD">
            <w:pPr>
              <w:rPr>
                <w:b/>
              </w:rPr>
            </w:pPr>
            <w:r>
              <w:rPr>
                <w:b/>
                <w:lang w:val="de-DE"/>
              </w:rPr>
              <w:t>ISBT</w:t>
            </w:r>
          </w:p>
        </w:tc>
      </w:tr>
      <w:tr w:rsidR="00EF4BEC" w14:paraId="196EA50D" w14:textId="77777777">
        <w:tc>
          <w:tcPr>
            <w:tcW w:w="3114" w:type="dxa"/>
          </w:tcPr>
          <w:p w14:paraId="5835E10A" w14:textId="77777777" w:rsidR="00EF4BEC" w:rsidRDefault="009E2ACD">
            <w:pPr>
              <w:rPr>
                <w:b/>
              </w:rPr>
            </w:pPr>
            <w:r>
              <w:rPr>
                <w:b/>
                <w:lang w:val="de-DE"/>
              </w:rPr>
              <w:t>Antigene</w:t>
            </w:r>
          </w:p>
        </w:tc>
        <w:tc>
          <w:tcPr>
            <w:tcW w:w="3463" w:type="dxa"/>
          </w:tcPr>
          <w:p w14:paraId="26073066" w14:textId="77777777" w:rsidR="00EF4BEC" w:rsidRDefault="009E2ACD">
            <w:pPr>
              <w:rPr>
                <w:lang w:val="de-DE"/>
              </w:rPr>
            </w:pPr>
            <w:r>
              <w:rPr>
                <w:lang w:val="de-DE"/>
              </w:rPr>
              <w:t>D, C, E, c, e</w:t>
            </w:r>
          </w:p>
        </w:tc>
        <w:tc>
          <w:tcPr>
            <w:tcW w:w="2916" w:type="dxa"/>
          </w:tcPr>
          <w:p w14:paraId="7CD884E1" w14:textId="77777777" w:rsidR="00EF4BEC" w:rsidRDefault="009E2ACD">
            <w:pPr>
              <w:rPr>
                <w:lang w:val="de-DE"/>
              </w:rPr>
            </w:pPr>
            <w:r>
              <w:rPr>
                <w:lang w:val="de-DE"/>
              </w:rPr>
              <w:t>RH1, RH2, RH3, RH4, RH5</w:t>
            </w:r>
          </w:p>
        </w:tc>
      </w:tr>
      <w:tr w:rsidR="00EF4BEC" w14:paraId="1AFB8FB6" w14:textId="77777777">
        <w:tc>
          <w:tcPr>
            <w:tcW w:w="3114" w:type="dxa"/>
          </w:tcPr>
          <w:p w14:paraId="44BE9A32" w14:textId="77777777" w:rsidR="00EF4BEC" w:rsidRDefault="009E2ACD">
            <w:pPr>
              <w:rPr>
                <w:b/>
              </w:rPr>
            </w:pPr>
            <w:r>
              <w:rPr>
                <w:b/>
                <w:lang w:val="de-DE"/>
              </w:rPr>
              <w:t>Fenotipo</w:t>
            </w:r>
          </w:p>
        </w:tc>
        <w:tc>
          <w:tcPr>
            <w:tcW w:w="3463" w:type="dxa"/>
          </w:tcPr>
          <w:p w14:paraId="5F2E4C06" w14:textId="77777777" w:rsidR="00EF4BEC" w:rsidRDefault="009E2ACD">
            <w:pPr>
              <w:rPr>
                <w:lang w:val="de-DE"/>
              </w:rPr>
            </w:pPr>
            <w:r>
              <w:rPr>
                <w:lang w:val="de-DE"/>
              </w:rPr>
              <w:t>D+C+E+c+e+ (R1R2)</w:t>
            </w:r>
          </w:p>
        </w:tc>
        <w:tc>
          <w:tcPr>
            <w:tcW w:w="2916" w:type="dxa"/>
          </w:tcPr>
          <w:p w14:paraId="0E27768C" w14:textId="77777777" w:rsidR="00EF4BEC" w:rsidRDefault="009E2ACD">
            <w:pPr>
              <w:rPr>
                <w:lang w:val="de-DE"/>
              </w:rPr>
            </w:pPr>
            <w:r>
              <w:rPr>
                <w:lang w:val="de-DE"/>
              </w:rPr>
              <w:t>RH:1,2,3,4,5</w:t>
            </w:r>
            <w:r>
              <w:rPr>
                <w:vertAlign w:val="superscript"/>
                <w:lang w:val="de-DE"/>
              </w:rPr>
              <w:t>$$</w:t>
            </w:r>
          </w:p>
        </w:tc>
      </w:tr>
      <w:tr w:rsidR="00EF4BEC" w14:paraId="4D2E5684" w14:textId="77777777">
        <w:tc>
          <w:tcPr>
            <w:tcW w:w="3114" w:type="dxa"/>
          </w:tcPr>
          <w:p w14:paraId="3FC4EB18" w14:textId="77777777" w:rsidR="00EF4BEC" w:rsidRDefault="009E2ACD">
            <w:pPr>
              <w:rPr>
                <w:b/>
              </w:rPr>
            </w:pPr>
            <w:r>
              <w:rPr>
                <w:b/>
                <w:lang w:val="de-DE"/>
              </w:rPr>
              <w:t>Allele</w:t>
            </w:r>
          </w:p>
        </w:tc>
        <w:tc>
          <w:tcPr>
            <w:tcW w:w="3463" w:type="dxa"/>
          </w:tcPr>
          <w:p w14:paraId="007BD77B" w14:textId="77777777" w:rsidR="00EF4BEC" w:rsidRDefault="009E2ACD">
            <w:pPr>
              <w:rPr>
                <w:i/>
                <w:lang w:val="de-DE"/>
              </w:rPr>
            </w:pPr>
            <w:r>
              <w:rPr>
                <w:i/>
                <w:lang w:val="de-DE"/>
              </w:rPr>
              <w:t>D, CE</w:t>
            </w:r>
          </w:p>
        </w:tc>
        <w:tc>
          <w:tcPr>
            <w:tcW w:w="2916" w:type="dxa"/>
          </w:tcPr>
          <w:p w14:paraId="2A064268" w14:textId="77777777" w:rsidR="00EF4BEC" w:rsidRDefault="009E2ACD">
            <w:pPr>
              <w:rPr>
                <w:lang w:val="de-DE"/>
              </w:rPr>
            </w:pPr>
            <w:r>
              <w:rPr>
                <w:i/>
                <w:lang w:val="de-DE"/>
              </w:rPr>
              <w:t>RHD*01/RHCE*02/</w:t>
            </w:r>
            <w:r>
              <w:rPr>
                <w:i/>
                <w:lang w:val="de-DE"/>
              </w:rPr>
              <w:br/>
              <w:t>RHCE*03</w:t>
            </w:r>
            <w:r>
              <w:rPr>
                <w:i/>
                <w:vertAlign w:val="superscript"/>
                <w:lang w:val="de-DE"/>
              </w:rPr>
              <w:t>$$$</w:t>
            </w:r>
          </w:p>
        </w:tc>
      </w:tr>
      <w:tr w:rsidR="00EF4BEC" w14:paraId="1246477C" w14:textId="77777777">
        <w:tc>
          <w:tcPr>
            <w:tcW w:w="3114" w:type="dxa"/>
          </w:tcPr>
          <w:p w14:paraId="05B9D6EB" w14:textId="77777777" w:rsidR="00EF4BEC" w:rsidRDefault="009E2ACD">
            <w:pPr>
              <w:rPr>
                <w:b/>
              </w:rPr>
            </w:pPr>
            <w:r>
              <w:rPr>
                <w:b/>
                <w:lang w:val="de-DE"/>
              </w:rPr>
              <w:t>Genotipo</w:t>
            </w:r>
          </w:p>
        </w:tc>
        <w:tc>
          <w:tcPr>
            <w:tcW w:w="3463" w:type="dxa"/>
          </w:tcPr>
          <w:p w14:paraId="45769FC8" w14:textId="77777777" w:rsidR="00EF4BEC" w:rsidRDefault="009E2ACD">
            <w:pPr>
              <w:rPr>
                <w:lang w:val="de-DE"/>
              </w:rPr>
            </w:pPr>
            <w:r>
              <w:rPr>
                <w:i/>
                <w:lang w:val="de-DE"/>
              </w:rPr>
              <w:t>CDe/cDE</w:t>
            </w:r>
            <w:r>
              <w:rPr>
                <w:i/>
                <w:vertAlign w:val="superscript"/>
                <w:lang w:val="de-DE"/>
              </w:rPr>
              <w:t>$$$</w:t>
            </w:r>
          </w:p>
        </w:tc>
        <w:tc>
          <w:tcPr>
            <w:tcW w:w="2916" w:type="dxa"/>
          </w:tcPr>
          <w:p w14:paraId="72DC8E26" w14:textId="77777777" w:rsidR="00EF4BEC" w:rsidRDefault="009E2ACD">
            <w:pPr>
              <w:rPr>
                <w:lang w:val="de-DE"/>
              </w:rPr>
            </w:pPr>
            <w:r>
              <w:rPr>
                <w:i/>
                <w:lang w:val="de-DE"/>
              </w:rPr>
              <w:t xml:space="preserve">RHD*01/RHD*01, </w:t>
            </w:r>
            <w:r>
              <w:rPr>
                <w:i/>
                <w:lang w:val="de-DE"/>
              </w:rPr>
              <w:br/>
              <w:t>RHCE*02/RHCE*03</w:t>
            </w:r>
            <w:r>
              <w:rPr>
                <w:i/>
                <w:vertAlign w:val="superscript"/>
                <w:lang w:val="de-DE"/>
              </w:rPr>
              <w:t>$$$</w:t>
            </w:r>
          </w:p>
        </w:tc>
      </w:tr>
      <w:tr w:rsidR="00EF4BEC" w:rsidRPr="007C6931" w14:paraId="558802BF" w14:textId="77777777">
        <w:tc>
          <w:tcPr>
            <w:tcW w:w="3114" w:type="dxa"/>
          </w:tcPr>
          <w:p w14:paraId="2D31274E" w14:textId="77777777" w:rsidR="00EF4BEC" w:rsidRDefault="009E2ACD">
            <w:pPr>
              <w:rPr>
                <w:b/>
              </w:rPr>
            </w:pPr>
            <w:r>
              <w:rPr>
                <w:b/>
                <w:lang w:val="de-DE"/>
              </w:rPr>
              <w:t>Anticorpo</w:t>
            </w:r>
          </w:p>
        </w:tc>
        <w:tc>
          <w:tcPr>
            <w:tcW w:w="3463" w:type="dxa"/>
          </w:tcPr>
          <w:p w14:paraId="51BDAB35" w14:textId="77777777" w:rsidR="00EF4BEC" w:rsidRDefault="009E2ACD">
            <w:pPr>
              <w:rPr>
                <w:lang w:val="de-DE"/>
              </w:rPr>
            </w:pPr>
            <w:r>
              <w:rPr>
                <w:lang w:val="de-DE"/>
              </w:rPr>
              <w:t>Anti-D, -C, -E, -c, -e</w:t>
            </w:r>
          </w:p>
        </w:tc>
        <w:tc>
          <w:tcPr>
            <w:tcW w:w="2916" w:type="dxa"/>
          </w:tcPr>
          <w:p w14:paraId="745E0238" w14:textId="77777777" w:rsidR="00EF4BEC" w:rsidRDefault="009E2ACD">
            <w:pPr>
              <w:rPr>
                <w:lang w:val="en-US"/>
              </w:rPr>
            </w:pPr>
            <w:r>
              <w:rPr>
                <w:lang w:val="en-US"/>
              </w:rPr>
              <w:t>Anti-RH1, -RH2, -RH3, -RH4, -RH5</w:t>
            </w:r>
          </w:p>
        </w:tc>
      </w:tr>
    </w:tbl>
    <w:p w14:paraId="5DDE4282" w14:textId="77777777" w:rsidR="00EF4BEC" w:rsidRDefault="00EF4BEC">
      <w:pPr>
        <w:rPr>
          <w:rFonts w:cs="Arial"/>
          <w:vertAlign w:val="superscript"/>
          <w:lang w:val="en-US"/>
        </w:rPr>
      </w:pPr>
    </w:p>
    <w:p w14:paraId="32AA6F5C" w14:textId="77777777" w:rsidR="00EF4BEC" w:rsidRDefault="009E2ACD">
      <w:pPr>
        <w:rPr>
          <w:rFonts w:cs="Arial"/>
          <w:lang w:val="it-IT"/>
        </w:rPr>
      </w:pPr>
      <w:r>
        <w:rPr>
          <w:rFonts w:cs="Arial"/>
          <w:vertAlign w:val="superscript"/>
          <w:lang w:val="it-IT"/>
        </w:rPr>
        <w:t>$$</w:t>
      </w:r>
      <w:r>
        <w:rPr>
          <w:rFonts w:cs="Arial"/>
          <w:lang w:val="it-IT"/>
        </w:rPr>
        <w:t xml:space="preserve"> Secondo ISBT gli antigeni sierologicamente deboli (weak o partial) nel fenotipo vengono contrassegnati con una W rispettivamente con una P prima del numero dell’antigene (p. es. FY:W2 = fenotipo Fy(b+w), RH:P1 = fenotipo RhD partial).</w:t>
      </w:r>
    </w:p>
    <w:p w14:paraId="4F7EF91C" w14:textId="77777777" w:rsidR="00EF4BEC" w:rsidRDefault="00EF4BEC">
      <w:pPr>
        <w:rPr>
          <w:rFonts w:cs="Arial"/>
          <w:lang w:val="it-IT"/>
        </w:rPr>
      </w:pPr>
    </w:p>
    <w:p w14:paraId="2E994A9E" w14:textId="7C17FAB7" w:rsidR="00EF4BEC" w:rsidRDefault="009E2ACD">
      <w:pPr>
        <w:rPr>
          <w:rFonts w:cs="Arial"/>
          <w:lang w:val="it-IT"/>
        </w:rPr>
      </w:pPr>
      <w:r>
        <w:rPr>
          <w:rFonts w:cs="Arial"/>
          <w:vertAlign w:val="superscript"/>
          <w:lang w:val="it-IT"/>
        </w:rPr>
        <w:t>$$$</w:t>
      </w:r>
      <w:r>
        <w:rPr>
          <w:rFonts w:cs="Arial"/>
          <w:lang w:val="it-IT"/>
        </w:rPr>
        <w:t xml:space="preserve"> Genotipo altamente probabile. </w:t>
      </w:r>
    </w:p>
    <w:sectPr w:rsidR="00EF4BEC">
      <w:pgSz w:w="11906" w:h="16838"/>
      <w:pgMar w:top="1418" w:right="1418" w:bottom="1134" w:left="1418" w:header="42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30AA9" w14:textId="77777777" w:rsidR="004C1E4F" w:rsidRDefault="004C1E4F">
      <w:pPr>
        <w:spacing w:after="0" w:line="240" w:lineRule="auto"/>
      </w:pPr>
      <w:r>
        <w:separator/>
      </w:r>
    </w:p>
  </w:endnote>
  <w:endnote w:type="continuationSeparator" w:id="0">
    <w:p w14:paraId="0E2CB8FC" w14:textId="77777777" w:rsidR="004C1E4F" w:rsidRDefault="004C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3369"/>
      <w:gridCol w:w="4144"/>
      <w:gridCol w:w="1843"/>
    </w:tblGrid>
    <w:tr w:rsidR="004C1E4F" w14:paraId="59A46E99" w14:textId="77777777" w:rsidTr="00F0441B">
      <w:trPr>
        <w:trHeight w:val="160"/>
      </w:trPr>
      <w:tc>
        <w:tcPr>
          <w:tcW w:w="3369" w:type="dxa"/>
          <w:shd w:val="clear" w:color="auto" w:fill="auto"/>
        </w:tcPr>
        <w:p w14:paraId="32F89258" w14:textId="6168E0B9" w:rsidR="004C1E4F" w:rsidRDefault="004C1E4F">
          <w:r>
            <w:t>No. 1146</w:t>
          </w:r>
        </w:p>
      </w:tc>
      <w:tc>
        <w:tcPr>
          <w:tcW w:w="4144" w:type="dxa"/>
          <w:shd w:val="clear" w:color="auto" w:fill="auto"/>
        </w:tcPr>
        <w:p w14:paraId="05130966" w14:textId="598D914A" w:rsidR="004C1E4F" w:rsidRDefault="004C1E4F" w:rsidP="00665030">
          <w:r>
            <w:rPr>
              <w:b/>
            </w:rPr>
            <w:t>Data di pubblicazione:</w:t>
          </w:r>
          <w:r>
            <w:t xml:space="preserve"> 01.04.2024</w:t>
          </w:r>
        </w:p>
      </w:tc>
      <w:tc>
        <w:tcPr>
          <w:tcW w:w="1843" w:type="dxa"/>
          <w:shd w:val="clear" w:color="auto" w:fill="auto"/>
        </w:tcPr>
        <w:p w14:paraId="465C2FD9" w14:textId="1960E7B4" w:rsidR="004C1E4F" w:rsidRDefault="004C1E4F">
          <w:r>
            <w:rPr>
              <w:b/>
            </w:rPr>
            <w:t>Pagina:</w:t>
          </w:r>
          <w:r>
            <w:t xml:space="preserve"> </w:t>
          </w:r>
          <w:r>
            <w:fldChar w:fldCharType="begin"/>
          </w:r>
          <w:r>
            <w:instrText>PAGE \* MERGEFORMAT</w:instrText>
          </w:r>
          <w:r>
            <w:fldChar w:fldCharType="separate"/>
          </w:r>
          <w:r w:rsidR="00583734">
            <w:rPr>
              <w:noProof/>
            </w:rPr>
            <w:t>11</w:t>
          </w:r>
          <w:r>
            <w:fldChar w:fldCharType="end"/>
          </w:r>
          <w:r>
            <w:t xml:space="preserve"> di </w:t>
          </w:r>
          <w:fldSimple w:instr="NUMPAGES \* MERGEFORMAT">
            <w:r w:rsidR="00583734">
              <w:rPr>
                <w:noProof/>
              </w:rPr>
              <w:t>60</w:t>
            </w:r>
          </w:fldSimple>
        </w:p>
      </w:tc>
    </w:tr>
  </w:tbl>
  <w:p w14:paraId="1433CA76" w14:textId="77777777" w:rsidR="004C1E4F" w:rsidRDefault="004C1E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486B" w14:textId="77777777" w:rsidR="004C1E4F" w:rsidRDefault="004C1E4F">
      <w:pPr>
        <w:spacing w:after="0" w:line="240" w:lineRule="auto"/>
      </w:pPr>
      <w:r>
        <w:separator/>
      </w:r>
    </w:p>
  </w:footnote>
  <w:footnote w:type="continuationSeparator" w:id="0">
    <w:p w14:paraId="5677137A" w14:textId="77777777" w:rsidR="004C1E4F" w:rsidRDefault="004C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gridCol w:w="2746"/>
      <w:gridCol w:w="2357"/>
    </w:tblGrid>
    <w:tr w:rsidR="004C1E4F" w14:paraId="10F53259" w14:textId="77777777">
      <w:trPr>
        <w:cantSplit/>
        <w:trHeight w:val="557"/>
      </w:trPr>
      <w:tc>
        <w:tcPr>
          <w:tcW w:w="4323" w:type="dxa"/>
          <w:vMerge w:val="restart"/>
          <w:vAlign w:val="center"/>
        </w:tcPr>
        <w:p w14:paraId="153DF806" w14:textId="77777777" w:rsidR="004C1E4F" w:rsidRDefault="004C1E4F">
          <w:pPr>
            <w:rPr>
              <w:rFonts w:cs="Arial"/>
            </w:rPr>
          </w:pPr>
          <w:r>
            <w:rPr>
              <w:rFonts w:cs="Arial"/>
              <w:noProof/>
              <w:lang w:eastAsia="de-CH"/>
            </w:rPr>
            <mc:AlternateContent>
              <mc:Choice Requires="wpg">
                <w:drawing>
                  <wp:anchor distT="0" distB="0" distL="114300" distR="114300" simplePos="0" relativeHeight="251659264" behindDoc="0" locked="0" layoutInCell="1" allowOverlap="1" wp14:anchorId="0A6158C4" wp14:editId="5396FE04">
                    <wp:simplePos x="0" y="0"/>
                    <wp:positionH relativeFrom="column">
                      <wp:posOffset>273050</wp:posOffset>
                    </wp:positionH>
                    <wp:positionV relativeFrom="paragraph">
                      <wp:posOffset>180340</wp:posOffset>
                    </wp:positionV>
                    <wp:extent cx="2101215" cy="588010"/>
                    <wp:effectExtent l="0" t="0" r="0" b="0"/>
                    <wp:wrapNone/>
                    <wp:docPr id="1"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sd_logo2"/>
                            <pic:cNvPicPr>
                              <a:picLocks noChangeAspect="1"/>
                            </pic:cNvPicPr>
                          </pic:nvPicPr>
                          <pic:blipFill>
                            <a:blip r:embed="rId1"/>
                            <a:stretch/>
                          </pic:blipFill>
                          <pic:spPr bwMode="auto">
                            <a:xfrm>
                              <a:off x="0" y="0"/>
                              <a:ext cx="2101215" cy="58801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21.5pt;mso-position-horizontal:absolute;mso-position-vertical-relative:text;margin-top:14.2pt;mso-position-vertical:absolute;width:165.4pt;height:46.3pt;" stroked="f">
                    <v:path textboxrect="0,0,0,0"/>
                    <v:imagedata r:id="rId2" o:title=""/>
                  </v:shape>
                </w:pict>
              </mc:Fallback>
            </mc:AlternateContent>
          </w:r>
        </w:p>
        <w:p w14:paraId="0560B6C1" w14:textId="77777777" w:rsidR="004C1E4F" w:rsidRDefault="004C1E4F">
          <w:pPr>
            <w:rPr>
              <w:rFonts w:cs="Arial"/>
            </w:rPr>
          </w:pPr>
        </w:p>
      </w:tc>
      <w:tc>
        <w:tcPr>
          <w:tcW w:w="5103" w:type="dxa"/>
          <w:gridSpan w:val="2"/>
          <w:vAlign w:val="center"/>
        </w:tcPr>
        <w:p w14:paraId="6A4FC2E8" w14:textId="77777777" w:rsidR="004C1E4F" w:rsidRDefault="004C1E4F">
          <w:pPr>
            <w:rPr>
              <w:rFonts w:cs="Arial"/>
            </w:rPr>
          </w:pPr>
          <w:r>
            <w:rPr>
              <w:rFonts w:cs="Arial"/>
            </w:rPr>
            <w:t>Documento</w:t>
          </w:r>
        </w:p>
      </w:tc>
    </w:tr>
    <w:tr w:rsidR="004C1E4F" w:rsidRPr="007C6931" w14:paraId="7DB1932C" w14:textId="77777777">
      <w:trPr>
        <w:cantSplit/>
        <w:trHeight w:val="551"/>
      </w:trPr>
      <w:tc>
        <w:tcPr>
          <w:tcW w:w="4323" w:type="dxa"/>
          <w:vMerge/>
          <w:vAlign w:val="center"/>
        </w:tcPr>
        <w:p w14:paraId="299941AC" w14:textId="77777777" w:rsidR="004C1E4F" w:rsidRDefault="004C1E4F">
          <w:pPr>
            <w:rPr>
              <w:rFonts w:cs="Arial"/>
            </w:rPr>
          </w:pPr>
        </w:p>
      </w:tc>
      <w:tc>
        <w:tcPr>
          <w:tcW w:w="5103" w:type="dxa"/>
          <w:gridSpan w:val="2"/>
          <w:vAlign w:val="center"/>
        </w:tcPr>
        <w:p w14:paraId="777925F1" w14:textId="77777777" w:rsidR="004C1E4F" w:rsidRDefault="004C1E4F">
          <w:pPr>
            <w:rPr>
              <w:rFonts w:cs="Arial"/>
              <w:lang w:val="it-IT"/>
            </w:rPr>
          </w:pPr>
          <w:r>
            <w:rPr>
              <w:rFonts w:cs="Arial"/>
              <w:lang w:val="it-IT"/>
            </w:rPr>
            <w:t>Analisi di medicina trasfusionale sul paziente</w:t>
          </w:r>
        </w:p>
      </w:tc>
    </w:tr>
    <w:tr w:rsidR="004C1E4F" w14:paraId="7B4A2E54" w14:textId="77777777">
      <w:trPr>
        <w:cantSplit/>
        <w:trHeight w:val="551"/>
      </w:trPr>
      <w:tc>
        <w:tcPr>
          <w:tcW w:w="4323" w:type="dxa"/>
          <w:vMerge/>
          <w:vAlign w:val="center"/>
        </w:tcPr>
        <w:p w14:paraId="2067EC4F" w14:textId="77777777" w:rsidR="004C1E4F" w:rsidRDefault="004C1E4F">
          <w:pPr>
            <w:rPr>
              <w:rFonts w:cs="Arial"/>
              <w:lang w:val="it-IT"/>
            </w:rPr>
          </w:pPr>
        </w:p>
      </w:tc>
      <w:tc>
        <w:tcPr>
          <w:tcW w:w="2746" w:type="dxa"/>
          <w:vAlign w:val="center"/>
        </w:tcPr>
        <w:p w14:paraId="4DE146C6" w14:textId="3C39976E" w:rsidR="004C1E4F" w:rsidRDefault="004C1E4F" w:rsidP="00665030">
          <w:pPr>
            <w:rPr>
              <w:rFonts w:cs="Arial"/>
            </w:rPr>
          </w:pPr>
          <w:r>
            <w:rPr>
              <w:rFonts w:cs="Arial"/>
            </w:rPr>
            <w:t>Valido dal: 01.04.2024</w:t>
          </w:r>
        </w:p>
      </w:tc>
      <w:tc>
        <w:tcPr>
          <w:tcW w:w="2357" w:type="dxa"/>
          <w:vAlign w:val="center"/>
        </w:tcPr>
        <w:p w14:paraId="5664FCFC" w14:textId="4945B497" w:rsidR="004C1E4F" w:rsidRDefault="004C1E4F">
          <w:pPr>
            <w:rPr>
              <w:rFonts w:cs="Arial"/>
            </w:rPr>
          </w:pPr>
          <w:r>
            <w:rPr>
              <w:rFonts w:cs="Arial"/>
            </w:rPr>
            <w:t>Versione 10</w:t>
          </w:r>
        </w:p>
      </w:tc>
    </w:tr>
  </w:tbl>
  <w:p w14:paraId="67E04419" w14:textId="77777777" w:rsidR="004C1E4F" w:rsidRDefault="004C1E4F">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7251"/>
    <w:multiLevelType w:val="multilevel"/>
    <w:tmpl w:val="C980CC28"/>
    <w:lvl w:ilvl="0">
      <w:start w:val="1"/>
      <w:numFmt w:val="decimal"/>
      <w:lvlText w:val="%1"/>
      <w:lvlJc w:val="left"/>
      <w:pPr>
        <w:ind w:left="432" w:hanging="383"/>
      </w:pPr>
    </w:lvl>
    <w:lvl w:ilvl="1">
      <w:start w:val="1"/>
      <w:numFmt w:val="decimal"/>
      <w:pStyle w:val="11Titel"/>
      <w:lvlText w:val="%1.%2"/>
      <w:lvlJc w:val="left"/>
      <w:pPr>
        <w:ind w:left="576" w:hanging="527"/>
      </w:pPr>
    </w:lvl>
    <w:lvl w:ilvl="2">
      <w:start w:val="1"/>
      <w:numFmt w:val="decimal"/>
      <w:lvlText w:val="%1.%2.%3"/>
      <w:lvlJc w:val="left"/>
      <w:pPr>
        <w:ind w:left="720" w:hanging="671"/>
      </w:pPr>
    </w:lvl>
    <w:lvl w:ilvl="3">
      <w:start w:val="1"/>
      <w:numFmt w:val="decimal"/>
      <w:lvlText w:val="%1.%2.%3.%4"/>
      <w:lvlJc w:val="left"/>
      <w:pPr>
        <w:ind w:left="864" w:hanging="815"/>
      </w:pPr>
    </w:lvl>
    <w:lvl w:ilvl="4">
      <w:start w:val="1"/>
      <w:numFmt w:val="decimal"/>
      <w:lvlText w:val="%1.%2.%3.%4.%5"/>
      <w:lvlJc w:val="left"/>
      <w:pPr>
        <w:ind w:left="1008" w:hanging="959"/>
      </w:pPr>
    </w:lvl>
    <w:lvl w:ilvl="5">
      <w:start w:val="1"/>
      <w:numFmt w:val="decimal"/>
      <w:lvlText w:val="%1.%2.%3.%4.%5.%6"/>
      <w:lvlJc w:val="left"/>
      <w:pPr>
        <w:ind w:left="1152" w:hanging="1103"/>
      </w:pPr>
    </w:lvl>
    <w:lvl w:ilvl="6">
      <w:start w:val="1"/>
      <w:numFmt w:val="decimal"/>
      <w:lvlText w:val="%1.%2.%3.%4.%5.%6.%7"/>
      <w:lvlJc w:val="left"/>
      <w:pPr>
        <w:ind w:left="1296" w:hanging="1247"/>
      </w:pPr>
    </w:lvl>
    <w:lvl w:ilvl="7">
      <w:start w:val="1"/>
      <w:numFmt w:val="decimal"/>
      <w:lvlText w:val="%1.%2.%3.%4.%5.%6.%7.%8"/>
      <w:lvlJc w:val="left"/>
      <w:pPr>
        <w:ind w:left="1440" w:hanging="1391"/>
      </w:pPr>
    </w:lvl>
    <w:lvl w:ilvl="8">
      <w:start w:val="1"/>
      <w:numFmt w:val="decimal"/>
      <w:lvlText w:val="%1.%2.%3.%4.%5.%6.%7.%8.%9"/>
      <w:lvlJc w:val="left"/>
      <w:pPr>
        <w:ind w:left="1584" w:hanging="1535"/>
      </w:pPr>
    </w:lvl>
  </w:abstractNum>
  <w:abstractNum w:abstractNumId="1" w15:restartNumberingAfterBreak="0">
    <w:nsid w:val="20563107"/>
    <w:multiLevelType w:val="hybridMultilevel"/>
    <w:tmpl w:val="109A5B74"/>
    <w:lvl w:ilvl="0" w:tplc="FD2AD58A">
      <w:start w:val="1"/>
      <w:numFmt w:val="bullet"/>
      <w:pStyle w:val="1Titel"/>
      <w:lvlText w:val=""/>
      <w:lvlJc w:val="left"/>
      <w:pPr>
        <w:ind w:left="720" w:hanging="311"/>
      </w:pPr>
      <w:rPr>
        <w:rFonts w:ascii="Symbol" w:hAnsi="Symbol" w:hint="default"/>
      </w:rPr>
    </w:lvl>
    <w:lvl w:ilvl="1" w:tplc="981AB8BE">
      <w:start w:val="1"/>
      <w:numFmt w:val="bullet"/>
      <w:lvlText w:val="–"/>
      <w:lvlJc w:val="left"/>
      <w:pPr>
        <w:ind w:left="1440" w:hanging="311"/>
      </w:pPr>
      <w:rPr>
        <w:rFonts w:ascii="Arial" w:eastAsia="Calibri" w:hAnsi="Arial" w:cs="Arial" w:hint="default"/>
      </w:rPr>
    </w:lvl>
    <w:lvl w:ilvl="2" w:tplc="09E027A6">
      <w:start w:val="1"/>
      <w:numFmt w:val="bullet"/>
      <w:lvlText w:val=""/>
      <w:lvlJc w:val="left"/>
      <w:pPr>
        <w:ind w:left="2160" w:hanging="311"/>
      </w:pPr>
      <w:rPr>
        <w:rFonts w:ascii="Wingdings" w:hAnsi="Wingdings" w:hint="default"/>
      </w:rPr>
    </w:lvl>
    <w:lvl w:ilvl="3" w:tplc="8410F798">
      <w:start w:val="1"/>
      <w:numFmt w:val="bullet"/>
      <w:lvlText w:val=""/>
      <w:lvlJc w:val="left"/>
      <w:pPr>
        <w:ind w:left="2880" w:hanging="311"/>
      </w:pPr>
      <w:rPr>
        <w:rFonts w:ascii="Symbol" w:hAnsi="Symbol" w:hint="default"/>
      </w:rPr>
    </w:lvl>
    <w:lvl w:ilvl="4" w:tplc="4EF2F97C">
      <w:start w:val="1"/>
      <w:numFmt w:val="bullet"/>
      <w:lvlText w:val="o"/>
      <w:lvlJc w:val="left"/>
      <w:pPr>
        <w:ind w:left="3600" w:hanging="311"/>
      </w:pPr>
      <w:rPr>
        <w:rFonts w:ascii="Courier New" w:hAnsi="Courier New" w:cs="Courier New" w:hint="default"/>
      </w:rPr>
    </w:lvl>
    <w:lvl w:ilvl="5" w:tplc="95C04B30">
      <w:start w:val="1"/>
      <w:numFmt w:val="bullet"/>
      <w:lvlText w:val=""/>
      <w:lvlJc w:val="left"/>
      <w:pPr>
        <w:ind w:left="4320" w:hanging="311"/>
      </w:pPr>
      <w:rPr>
        <w:rFonts w:ascii="Wingdings" w:hAnsi="Wingdings" w:hint="default"/>
      </w:rPr>
    </w:lvl>
    <w:lvl w:ilvl="6" w:tplc="F0987F4E">
      <w:start w:val="1"/>
      <w:numFmt w:val="bullet"/>
      <w:lvlText w:val=""/>
      <w:lvlJc w:val="left"/>
      <w:pPr>
        <w:ind w:left="5040" w:hanging="311"/>
      </w:pPr>
      <w:rPr>
        <w:rFonts w:ascii="Symbol" w:hAnsi="Symbol" w:hint="default"/>
      </w:rPr>
    </w:lvl>
    <w:lvl w:ilvl="7" w:tplc="3DE8507C">
      <w:start w:val="1"/>
      <w:numFmt w:val="bullet"/>
      <w:lvlText w:val="o"/>
      <w:lvlJc w:val="left"/>
      <w:pPr>
        <w:ind w:left="5760" w:hanging="311"/>
      </w:pPr>
      <w:rPr>
        <w:rFonts w:ascii="Courier New" w:hAnsi="Courier New" w:cs="Courier New" w:hint="default"/>
      </w:rPr>
    </w:lvl>
    <w:lvl w:ilvl="8" w:tplc="2CC01CC4">
      <w:start w:val="1"/>
      <w:numFmt w:val="bullet"/>
      <w:lvlText w:val=""/>
      <w:lvlJc w:val="left"/>
      <w:pPr>
        <w:ind w:left="6480" w:hanging="311"/>
      </w:pPr>
      <w:rPr>
        <w:rFonts w:ascii="Wingdings" w:hAnsi="Wingdings" w:hint="default"/>
      </w:rPr>
    </w:lvl>
  </w:abstractNum>
  <w:abstractNum w:abstractNumId="2" w15:restartNumberingAfterBreak="0">
    <w:nsid w:val="23761B88"/>
    <w:multiLevelType w:val="hybridMultilevel"/>
    <w:tmpl w:val="B210C61A"/>
    <w:lvl w:ilvl="0" w:tplc="4E3E01B0">
      <w:start w:val="1"/>
      <w:numFmt w:val="decimal"/>
      <w:lvlText w:val="%1."/>
      <w:lvlJc w:val="left"/>
      <w:pPr>
        <w:ind w:left="1571" w:hanging="360"/>
      </w:pPr>
    </w:lvl>
    <w:lvl w:ilvl="1" w:tplc="2A102F86">
      <w:start w:val="1"/>
      <w:numFmt w:val="lowerLetter"/>
      <w:lvlText w:val="%2."/>
      <w:lvlJc w:val="left"/>
      <w:pPr>
        <w:ind w:left="2291" w:hanging="360"/>
      </w:pPr>
    </w:lvl>
    <w:lvl w:ilvl="2" w:tplc="B18CD648">
      <w:start w:val="1"/>
      <w:numFmt w:val="lowerRoman"/>
      <w:lvlText w:val="%3."/>
      <w:lvlJc w:val="right"/>
      <w:pPr>
        <w:ind w:left="3011" w:hanging="180"/>
      </w:pPr>
    </w:lvl>
    <w:lvl w:ilvl="3" w:tplc="1018B84C">
      <w:start w:val="1"/>
      <w:numFmt w:val="decimal"/>
      <w:lvlText w:val="%4."/>
      <w:lvlJc w:val="left"/>
      <w:pPr>
        <w:ind w:left="3731" w:hanging="360"/>
      </w:pPr>
    </w:lvl>
    <w:lvl w:ilvl="4" w:tplc="ED800C18">
      <w:start w:val="1"/>
      <w:numFmt w:val="lowerLetter"/>
      <w:lvlText w:val="%5."/>
      <w:lvlJc w:val="left"/>
      <w:pPr>
        <w:ind w:left="4451" w:hanging="360"/>
      </w:pPr>
    </w:lvl>
    <w:lvl w:ilvl="5" w:tplc="354C36AE">
      <w:start w:val="1"/>
      <w:numFmt w:val="lowerRoman"/>
      <w:lvlText w:val="%6."/>
      <w:lvlJc w:val="right"/>
      <w:pPr>
        <w:ind w:left="5171" w:hanging="180"/>
      </w:pPr>
    </w:lvl>
    <w:lvl w:ilvl="6" w:tplc="1FA423FE">
      <w:start w:val="1"/>
      <w:numFmt w:val="decimal"/>
      <w:lvlText w:val="%7."/>
      <w:lvlJc w:val="left"/>
      <w:pPr>
        <w:ind w:left="5891" w:hanging="360"/>
      </w:pPr>
    </w:lvl>
    <w:lvl w:ilvl="7" w:tplc="09D2FA20">
      <w:start w:val="1"/>
      <w:numFmt w:val="lowerLetter"/>
      <w:lvlText w:val="%8."/>
      <w:lvlJc w:val="left"/>
      <w:pPr>
        <w:ind w:left="6611" w:hanging="360"/>
      </w:pPr>
    </w:lvl>
    <w:lvl w:ilvl="8" w:tplc="2FD8D62E">
      <w:start w:val="1"/>
      <w:numFmt w:val="lowerRoman"/>
      <w:lvlText w:val="%9."/>
      <w:lvlJc w:val="right"/>
      <w:pPr>
        <w:ind w:left="7331" w:hanging="180"/>
      </w:pPr>
    </w:lvl>
  </w:abstractNum>
  <w:abstractNum w:abstractNumId="3" w15:restartNumberingAfterBreak="0">
    <w:nsid w:val="2B132DA7"/>
    <w:multiLevelType w:val="multilevel"/>
    <w:tmpl w:val="EF620F54"/>
    <w:lvl w:ilvl="0">
      <w:start w:val="1"/>
      <w:numFmt w:val="decimal"/>
      <w:pStyle w:val="berschrift1"/>
      <w:lvlText w:val="%1"/>
      <w:lvlJc w:val="left"/>
      <w:pPr>
        <w:ind w:left="432" w:hanging="432"/>
      </w:pPr>
    </w:lvl>
    <w:lvl w:ilvl="1">
      <w:start w:val="1"/>
      <w:numFmt w:val="decimal"/>
      <w:pStyle w:val="berschrift2"/>
      <w:lvlText w:val="%1.%2"/>
      <w:lvlJc w:val="left"/>
      <w:pPr>
        <w:ind w:left="4971" w:hanging="576"/>
      </w:pPr>
    </w:lvl>
    <w:lvl w:ilvl="2">
      <w:start w:val="1"/>
      <w:numFmt w:val="decimal"/>
      <w:pStyle w:val="berschrift3"/>
      <w:lvlText w:val="%1.%2.%3"/>
      <w:lvlJc w:val="left"/>
      <w:pPr>
        <w:ind w:left="8375"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1DB6D56"/>
    <w:multiLevelType w:val="multilevel"/>
    <w:tmpl w:val="FA564B58"/>
    <w:lvl w:ilvl="0">
      <w:start w:val="1"/>
      <w:numFmt w:val="decimal"/>
      <w:lvlText w:val="%1."/>
      <w:lvlJc w:val="left"/>
      <w:pPr>
        <w:ind w:left="435" w:hanging="386"/>
      </w:pPr>
      <w:rPr>
        <w:rFonts w:hint="default"/>
      </w:rPr>
    </w:lvl>
    <w:lvl w:ilvl="1">
      <w:start w:val="2"/>
      <w:numFmt w:val="decimal"/>
      <w:lvlText w:val="%1.%2"/>
      <w:lvlJc w:val="left"/>
      <w:pPr>
        <w:ind w:left="860" w:hanging="386"/>
      </w:pPr>
      <w:rPr>
        <w:rFonts w:hint="default"/>
      </w:rPr>
    </w:lvl>
    <w:lvl w:ilvl="2">
      <w:start w:val="1"/>
      <w:numFmt w:val="decimal"/>
      <w:lvlText w:val="%1.%2.%3"/>
      <w:lvlJc w:val="left"/>
      <w:pPr>
        <w:ind w:left="1430" w:hanging="671"/>
      </w:pPr>
      <w:rPr>
        <w:rFonts w:hint="default"/>
        <w:sz w:val="20"/>
        <w:szCs w:val="20"/>
      </w:rPr>
    </w:lvl>
    <w:lvl w:ilvl="3">
      <w:start w:val="1"/>
      <w:numFmt w:val="decimal"/>
      <w:lvlText w:val="%1.%2.%3.%4"/>
      <w:lvlJc w:val="left"/>
      <w:pPr>
        <w:ind w:left="1995" w:hanging="671"/>
      </w:pPr>
      <w:rPr>
        <w:rFonts w:hint="default"/>
      </w:rPr>
    </w:lvl>
    <w:lvl w:ilvl="4">
      <w:start w:val="1"/>
      <w:numFmt w:val="decimal"/>
      <w:lvlText w:val="%1.%2.%3.%4.%5"/>
      <w:lvlJc w:val="left"/>
      <w:pPr>
        <w:ind w:left="2780" w:hanging="1031"/>
      </w:pPr>
      <w:rPr>
        <w:rFonts w:hint="default"/>
      </w:rPr>
    </w:lvl>
    <w:lvl w:ilvl="5">
      <w:start w:val="1"/>
      <w:numFmt w:val="decimal"/>
      <w:lvlText w:val="%1.%2.%3.%4.%5.%6"/>
      <w:lvlJc w:val="left"/>
      <w:pPr>
        <w:ind w:left="3205" w:hanging="1031"/>
      </w:pPr>
      <w:rPr>
        <w:rFonts w:hint="default"/>
      </w:rPr>
    </w:lvl>
    <w:lvl w:ilvl="6">
      <w:start w:val="1"/>
      <w:numFmt w:val="decimal"/>
      <w:lvlText w:val="%1.%2.%3.%4.%5.%6.%7"/>
      <w:lvlJc w:val="left"/>
      <w:pPr>
        <w:ind w:left="3990" w:hanging="1391"/>
      </w:pPr>
      <w:rPr>
        <w:rFonts w:hint="default"/>
      </w:rPr>
    </w:lvl>
    <w:lvl w:ilvl="7">
      <w:start w:val="1"/>
      <w:numFmt w:val="decimal"/>
      <w:lvlText w:val="%1.%2.%3.%4.%5.%6.%7.%8"/>
      <w:lvlJc w:val="left"/>
      <w:pPr>
        <w:ind w:left="4415" w:hanging="1391"/>
      </w:pPr>
      <w:rPr>
        <w:rFonts w:hint="default"/>
      </w:rPr>
    </w:lvl>
    <w:lvl w:ilvl="8">
      <w:start w:val="1"/>
      <w:numFmt w:val="decimal"/>
      <w:lvlText w:val="%1.%2.%3.%4.%5.%6.%7.%8.%9"/>
      <w:lvlJc w:val="left"/>
      <w:pPr>
        <w:ind w:left="5200" w:hanging="1751"/>
      </w:pPr>
      <w:rPr>
        <w:rFonts w:hint="default"/>
      </w:rPr>
    </w:lvl>
  </w:abstractNum>
  <w:abstractNum w:abstractNumId="5" w15:restartNumberingAfterBreak="0">
    <w:nsid w:val="324A7F0E"/>
    <w:multiLevelType w:val="hybridMultilevel"/>
    <w:tmpl w:val="FC641914"/>
    <w:lvl w:ilvl="0" w:tplc="81B6B102">
      <w:start w:val="1"/>
      <w:numFmt w:val="bullet"/>
      <w:pStyle w:val="AufzhlungQuadrat"/>
      <w:lvlText w:val=""/>
      <w:lvlJc w:val="left"/>
      <w:pPr>
        <w:ind w:left="1021" w:hanging="301"/>
      </w:pPr>
      <w:rPr>
        <w:rFonts w:ascii="Wingdings" w:hAnsi="Wingdings" w:hint="default"/>
      </w:rPr>
    </w:lvl>
    <w:lvl w:ilvl="1" w:tplc="51409F62">
      <w:start w:val="1"/>
      <w:numFmt w:val="bullet"/>
      <w:lvlText w:val="o"/>
      <w:lvlJc w:val="left"/>
      <w:pPr>
        <w:ind w:left="1440" w:hanging="360"/>
      </w:pPr>
      <w:rPr>
        <w:rFonts w:ascii="Courier New" w:hAnsi="Courier New" w:cs="Courier New" w:hint="default"/>
      </w:rPr>
    </w:lvl>
    <w:lvl w:ilvl="2" w:tplc="08BA1156">
      <w:start w:val="1"/>
      <w:numFmt w:val="bullet"/>
      <w:lvlText w:val=""/>
      <w:lvlJc w:val="left"/>
      <w:pPr>
        <w:ind w:left="2160" w:hanging="360"/>
      </w:pPr>
      <w:rPr>
        <w:rFonts w:ascii="Wingdings" w:hAnsi="Wingdings" w:hint="default"/>
      </w:rPr>
    </w:lvl>
    <w:lvl w:ilvl="3" w:tplc="69CACF4C">
      <w:start w:val="1"/>
      <w:numFmt w:val="bullet"/>
      <w:lvlText w:val=""/>
      <w:lvlJc w:val="left"/>
      <w:pPr>
        <w:ind w:left="2880" w:hanging="360"/>
      </w:pPr>
      <w:rPr>
        <w:rFonts w:ascii="Symbol" w:hAnsi="Symbol" w:hint="default"/>
      </w:rPr>
    </w:lvl>
    <w:lvl w:ilvl="4" w:tplc="170C8F74">
      <w:start w:val="1"/>
      <w:numFmt w:val="bullet"/>
      <w:lvlText w:val="o"/>
      <w:lvlJc w:val="left"/>
      <w:pPr>
        <w:ind w:left="3600" w:hanging="360"/>
      </w:pPr>
      <w:rPr>
        <w:rFonts w:ascii="Courier New" w:hAnsi="Courier New" w:cs="Courier New" w:hint="default"/>
      </w:rPr>
    </w:lvl>
    <w:lvl w:ilvl="5" w:tplc="BC8CEEDA">
      <w:start w:val="1"/>
      <w:numFmt w:val="bullet"/>
      <w:lvlText w:val=""/>
      <w:lvlJc w:val="left"/>
      <w:pPr>
        <w:ind w:left="4320" w:hanging="360"/>
      </w:pPr>
      <w:rPr>
        <w:rFonts w:ascii="Wingdings" w:hAnsi="Wingdings" w:hint="default"/>
      </w:rPr>
    </w:lvl>
    <w:lvl w:ilvl="6" w:tplc="A768F39C">
      <w:start w:val="1"/>
      <w:numFmt w:val="bullet"/>
      <w:lvlText w:val=""/>
      <w:lvlJc w:val="left"/>
      <w:pPr>
        <w:ind w:left="5040" w:hanging="360"/>
      </w:pPr>
      <w:rPr>
        <w:rFonts w:ascii="Symbol" w:hAnsi="Symbol" w:hint="default"/>
      </w:rPr>
    </w:lvl>
    <w:lvl w:ilvl="7" w:tplc="737830B4">
      <w:start w:val="1"/>
      <w:numFmt w:val="bullet"/>
      <w:lvlText w:val="o"/>
      <w:lvlJc w:val="left"/>
      <w:pPr>
        <w:ind w:left="5760" w:hanging="360"/>
      </w:pPr>
      <w:rPr>
        <w:rFonts w:ascii="Courier New" w:hAnsi="Courier New" w:cs="Courier New" w:hint="default"/>
      </w:rPr>
    </w:lvl>
    <w:lvl w:ilvl="8" w:tplc="FA2E5928">
      <w:start w:val="1"/>
      <w:numFmt w:val="bullet"/>
      <w:lvlText w:val=""/>
      <w:lvlJc w:val="left"/>
      <w:pPr>
        <w:ind w:left="6480" w:hanging="360"/>
      </w:pPr>
      <w:rPr>
        <w:rFonts w:ascii="Wingdings" w:hAnsi="Wingdings" w:hint="default"/>
      </w:rPr>
    </w:lvl>
  </w:abstractNum>
  <w:abstractNum w:abstractNumId="6" w15:restartNumberingAfterBreak="0">
    <w:nsid w:val="35F66F7E"/>
    <w:multiLevelType w:val="hybridMultilevel"/>
    <w:tmpl w:val="013E146C"/>
    <w:lvl w:ilvl="0" w:tplc="B2AABB6C">
      <w:numFmt w:val="bullet"/>
      <w:lvlText w:val="-"/>
      <w:lvlJc w:val="left"/>
      <w:pPr>
        <w:ind w:left="2308" w:hanging="312"/>
      </w:pPr>
      <w:rPr>
        <w:rFonts w:ascii="Arial" w:eastAsia="Arial" w:hAnsi="Arial" w:cs="Arial" w:hint="default"/>
        <w:b/>
        <w:bCs/>
        <w:i w:val="0"/>
        <w:iCs w:val="0"/>
        <w:w w:val="99"/>
        <w:sz w:val="20"/>
        <w:szCs w:val="20"/>
        <w:lang w:val="de-DE" w:eastAsia="en-US" w:bidi="ar-SA"/>
      </w:rPr>
    </w:lvl>
    <w:lvl w:ilvl="1" w:tplc="B4327B30">
      <w:numFmt w:val="bullet"/>
      <w:lvlText w:val="•"/>
      <w:lvlJc w:val="left"/>
      <w:pPr>
        <w:ind w:left="3196" w:hanging="312"/>
      </w:pPr>
      <w:rPr>
        <w:rFonts w:hint="default"/>
        <w:lang w:val="de-DE" w:eastAsia="en-US" w:bidi="ar-SA"/>
      </w:rPr>
    </w:lvl>
    <w:lvl w:ilvl="2" w:tplc="7A44F774">
      <w:numFmt w:val="bullet"/>
      <w:lvlText w:val="•"/>
      <w:lvlJc w:val="left"/>
      <w:pPr>
        <w:ind w:left="4093" w:hanging="312"/>
      </w:pPr>
      <w:rPr>
        <w:rFonts w:hint="default"/>
        <w:lang w:val="de-DE" w:eastAsia="en-US" w:bidi="ar-SA"/>
      </w:rPr>
    </w:lvl>
    <w:lvl w:ilvl="3" w:tplc="C62E5720">
      <w:numFmt w:val="bullet"/>
      <w:lvlText w:val="•"/>
      <w:lvlJc w:val="left"/>
      <w:pPr>
        <w:ind w:left="4989" w:hanging="312"/>
      </w:pPr>
      <w:rPr>
        <w:rFonts w:hint="default"/>
        <w:lang w:val="de-DE" w:eastAsia="en-US" w:bidi="ar-SA"/>
      </w:rPr>
    </w:lvl>
    <w:lvl w:ilvl="4" w:tplc="BA1C4CBA">
      <w:numFmt w:val="bullet"/>
      <w:lvlText w:val="•"/>
      <w:lvlJc w:val="left"/>
      <w:pPr>
        <w:ind w:left="5886" w:hanging="312"/>
      </w:pPr>
      <w:rPr>
        <w:rFonts w:hint="default"/>
        <w:lang w:val="de-DE" w:eastAsia="en-US" w:bidi="ar-SA"/>
      </w:rPr>
    </w:lvl>
    <w:lvl w:ilvl="5" w:tplc="D17AB794">
      <w:numFmt w:val="bullet"/>
      <w:lvlText w:val="•"/>
      <w:lvlJc w:val="left"/>
      <w:pPr>
        <w:ind w:left="6783" w:hanging="312"/>
      </w:pPr>
      <w:rPr>
        <w:rFonts w:hint="default"/>
        <w:lang w:val="de-DE" w:eastAsia="en-US" w:bidi="ar-SA"/>
      </w:rPr>
    </w:lvl>
    <w:lvl w:ilvl="6" w:tplc="3E9659AC">
      <w:numFmt w:val="bullet"/>
      <w:lvlText w:val="•"/>
      <w:lvlJc w:val="left"/>
      <w:pPr>
        <w:ind w:left="7679" w:hanging="312"/>
      </w:pPr>
      <w:rPr>
        <w:rFonts w:hint="default"/>
        <w:lang w:val="de-DE" w:eastAsia="en-US" w:bidi="ar-SA"/>
      </w:rPr>
    </w:lvl>
    <w:lvl w:ilvl="7" w:tplc="7C180F92">
      <w:numFmt w:val="bullet"/>
      <w:lvlText w:val="•"/>
      <w:lvlJc w:val="left"/>
      <w:pPr>
        <w:ind w:left="8576" w:hanging="312"/>
      </w:pPr>
      <w:rPr>
        <w:rFonts w:hint="default"/>
        <w:lang w:val="de-DE" w:eastAsia="en-US" w:bidi="ar-SA"/>
      </w:rPr>
    </w:lvl>
    <w:lvl w:ilvl="8" w:tplc="BCD24B20">
      <w:numFmt w:val="bullet"/>
      <w:lvlText w:val="•"/>
      <w:lvlJc w:val="left"/>
      <w:pPr>
        <w:ind w:left="9473" w:hanging="312"/>
      </w:pPr>
      <w:rPr>
        <w:rFonts w:hint="default"/>
        <w:lang w:val="de-DE" w:eastAsia="en-US" w:bidi="ar-SA"/>
      </w:rPr>
    </w:lvl>
  </w:abstractNum>
  <w:abstractNum w:abstractNumId="7" w15:restartNumberingAfterBreak="0">
    <w:nsid w:val="48E5479B"/>
    <w:multiLevelType w:val="hybridMultilevel"/>
    <w:tmpl w:val="AB7C519C"/>
    <w:lvl w:ilvl="0" w:tplc="3A1E165A">
      <w:start w:val="1"/>
      <w:numFmt w:val="decimal"/>
      <w:lvlText w:val="%1."/>
      <w:lvlJc w:val="left"/>
      <w:pPr>
        <w:ind w:left="1065" w:hanging="705"/>
      </w:pPr>
      <w:rPr>
        <w:rFonts w:hint="default"/>
        <w:color w:val="auto"/>
      </w:rPr>
    </w:lvl>
    <w:lvl w:ilvl="1" w:tplc="D1BA8422">
      <w:start w:val="1"/>
      <w:numFmt w:val="lowerLetter"/>
      <w:lvlText w:val="%2."/>
      <w:lvlJc w:val="left"/>
      <w:pPr>
        <w:ind w:left="1440" w:hanging="360"/>
      </w:pPr>
    </w:lvl>
    <w:lvl w:ilvl="2" w:tplc="8F924FEC">
      <w:start w:val="1"/>
      <w:numFmt w:val="lowerRoman"/>
      <w:lvlText w:val="%3."/>
      <w:lvlJc w:val="right"/>
      <w:pPr>
        <w:ind w:left="2160" w:hanging="180"/>
      </w:pPr>
    </w:lvl>
    <w:lvl w:ilvl="3" w:tplc="89724BEA">
      <w:start w:val="1"/>
      <w:numFmt w:val="decimal"/>
      <w:lvlText w:val="%4."/>
      <w:lvlJc w:val="left"/>
      <w:pPr>
        <w:ind w:left="2880" w:hanging="360"/>
      </w:pPr>
    </w:lvl>
    <w:lvl w:ilvl="4" w:tplc="9E50FEE0">
      <w:start w:val="1"/>
      <w:numFmt w:val="lowerLetter"/>
      <w:lvlText w:val="%5."/>
      <w:lvlJc w:val="left"/>
      <w:pPr>
        <w:ind w:left="3600" w:hanging="360"/>
      </w:pPr>
    </w:lvl>
    <w:lvl w:ilvl="5" w:tplc="98CEBFAA">
      <w:start w:val="1"/>
      <w:numFmt w:val="lowerRoman"/>
      <w:lvlText w:val="%6."/>
      <w:lvlJc w:val="right"/>
      <w:pPr>
        <w:ind w:left="4320" w:hanging="180"/>
      </w:pPr>
    </w:lvl>
    <w:lvl w:ilvl="6" w:tplc="60121FB0">
      <w:start w:val="1"/>
      <w:numFmt w:val="decimal"/>
      <w:lvlText w:val="%7."/>
      <w:lvlJc w:val="left"/>
      <w:pPr>
        <w:ind w:left="5040" w:hanging="360"/>
      </w:pPr>
    </w:lvl>
    <w:lvl w:ilvl="7" w:tplc="13F4D3EC">
      <w:start w:val="1"/>
      <w:numFmt w:val="lowerLetter"/>
      <w:lvlText w:val="%8."/>
      <w:lvlJc w:val="left"/>
      <w:pPr>
        <w:ind w:left="5760" w:hanging="360"/>
      </w:pPr>
    </w:lvl>
    <w:lvl w:ilvl="8" w:tplc="7FBE2852">
      <w:start w:val="1"/>
      <w:numFmt w:val="lowerRoman"/>
      <w:lvlText w:val="%9."/>
      <w:lvlJc w:val="right"/>
      <w:pPr>
        <w:ind w:left="6480" w:hanging="180"/>
      </w:pPr>
    </w:lvl>
  </w:abstractNum>
  <w:abstractNum w:abstractNumId="8" w15:restartNumberingAfterBreak="0">
    <w:nsid w:val="4A3D4B8C"/>
    <w:multiLevelType w:val="hybridMultilevel"/>
    <w:tmpl w:val="DBD8A22A"/>
    <w:lvl w:ilvl="0" w:tplc="C24ED4FA">
      <w:start w:val="4"/>
      <w:numFmt w:val="bullet"/>
      <w:pStyle w:val="AufzhlungStrich"/>
      <w:lvlText w:val="–"/>
      <w:lvlJc w:val="left"/>
      <w:pPr>
        <w:ind w:left="1021" w:hanging="301"/>
      </w:pPr>
      <w:rPr>
        <w:rFonts w:ascii="Arial" w:eastAsia="Calibri" w:hAnsi="Arial" w:hint="default"/>
      </w:rPr>
    </w:lvl>
    <w:lvl w:ilvl="1" w:tplc="14B85F16">
      <w:start w:val="1"/>
      <w:numFmt w:val="bullet"/>
      <w:lvlText w:val="o"/>
      <w:lvlJc w:val="left"/>
      <w:pPr>
        <w:ind w:left="1440" w:hanging="360"/>
      </w:pPr>
      <w:rPr>
        <w:rFonts w:ascii="Courier New" w:hAnsi="Courier New" w:cs="Courier New" w:hint="default"/>
      </w:rPr>
    </w:lvl>
    <w:lvl w:ilvl="2" w:tplc="23D89304">
      <w:start w:val="1"/>
      <w:numFmt w:val="bullet"/>
      <w:lvlText w:val=""/>
      <w:lvlJc w:val="left"/>
      <w:pPr>
        <w:ind w:left="2160" w:hanging="360"/>
      </w:pPr>
      <w:rPr>
        <w:rFonts w:ascii="Wingdings" w:hAnsi="Wingdings" w:hint="default"/>
      </w:rPr>
    </w:lvl>
    <w:lvl w:ilvl="3" w:tplc="6F2C6CCE">
      <w:start w:val="1"/>
      <w:numFmt w:val="bullet"/>
      <w:lvlText w:val=""/>
      <w:lvlJc w:val="left"/>
      <w:pPr>
        <w:ind w:left="2880" w:hanging="360"/>
      </w:pPr>
      <w:rPr>
        <w:rFonts w:ascii="Symbol" w:hAnsi="Symbol" w:hint="default"/>
      </w:rPr>
    </w:lvl>
    <w:lvl w:ilvl="4" w:tplc="809C5596">
      <w:start w:val="1"/>
      <w:numFmt w:val="bullet"/>
      <w:lvlText w:val="o"/>
      <w:lvlJc w:val="left"/>
      <w:pPr>
        <w:ind w:left="3600" w:hanging="360"/>
      </w:pPr>
      <w:rPr>
        <w:rFonts w:ascii="Courier New" w:hAnsi="Courier New" w:cs="Courier New" w:hint="default"/>
      </w:rPr>
    </w:lvl>
    <w:lvl w:ilvl="5" w:tplc="D8A84586">
      <w:start w:val="1"/>
      <w:numFmt w:val="bullet"/>
      <w:lvlText w:val=""/>
      <w:lvlJc w:val="left"/>
      <w:pPr>
        <w:ind w:left="4320" w:hanging="360"/>
      </w:pPr>
      <w:rPr>
        <w:rFonts w:ascii="Wingdings" w:hAnsi="Wingdings" w:hint="default"/>
      </w:rPr>
    </w:lvl>
    <w:lvl w:ilvl="6" w:tplc="AD9006B8">
      <w:start w:val="1"/>
      <w:numFmt w:val="bullet"/>
      <w:lvlText w:val=""/>
      <w:lvlJc w:val="left"/>
      <w:pPr>
        <w:ind w:left="5040" w:hanging="360"/>
      </w:pPr>
      <w:rPr>
        <w:rFonts w:ascii="Symbol" w:hAnsi="Symbol" w:hint="default"/>
      </w:rPr>
    </w:lvl>
    <w:lvl w:ilvl="7" w:tplc="299246BE">
      <w:start w:val="1"/>
      <w:numFmt w:val="bullet"/>
      <w:lvlText w:val="o"/>
      <w:lvlJc w:val="left"/>
      <w:pPr>
        <w:ind w:left="5760" w:hanging="360"/>
      </w:pPr>
      <w:rPr>
        <w:rFonts w:ascii="Courier New" w:hAnsi="Courier New" w:cs="Courier New" w:hint="default"/>
      </w:rPr>
    </w:lvl>
    <w:lvl w:ilvl="8" w:tplc="7BDC42DC">
      <w:start w:val="1"/>
      <w:numFmt w:val="bullet"/>
      <w:lvlText w:val=""/>
      <w:lvlJc w:val="left"/>
      <w:pPr>
        <w:ind w:left="6480" w:hanging="360"/>
      </w:pPr>
      <w:rPr>
        <w:rFonts w:ascii="Wingdings" w:hAnsi="Wingdings" w:hint="default"/>
      </w:rPr>
    </w:lvl>
  </w:abstractNum>
  <w:abstractNum w:abstractNumId="9" w15:restartNumberingAfterBreak="0">
    <w:nsid w:val="4DAC0C15"/>
    <w:multiLevelType w:val="hybridMultilevel"/>
    <w:tmpl w:val="643E17A4"/>
    <w:lvl w:ilvl="0" w:tplc="4A6C7B30">
      <w:start w:val="1"/>
      <w:numFmt w:val="decimal"/>
      <w:lvlText w:val="%1."/>
      <w:lvlJc w:val="left"/>
      <w:pPr>
        <w:ind w:left="1065" w:hanging="705"/>
      </w:pPr>
      <w:rPr>
        <w:rFonts w:hint="default"/>
      </w:rPr>
    </w:lvl>
    <w:lvl w:ilvl="1" w:tplc="7958B7D6">
      <w:start w:val="1"/>
      <w:numFmt w:val="lowerLetter"/>
      <w:lvlText w:val="%2."/>
      <w:lvlJc w:val="left"/>
      <w:pPr>
        <w:ind w:left="1440" w:hanging="360"/>
      </w:pPr>
    </w:lvl>
    <w:lvl w:ilvl="2" w:tplc="FB78F032">
      <w:start w:val="1"/>
      <w:numFmt w:val="lowerRoman"/>
      <w:lvlText w:val="%3."/>
      <w:lvlJc w:val="right"/>
      <w:pPr>
        <w:ind w:left="2160" w:hanging="180"/>
      </w:pPr>
    </w:lvl>
    <w:lvl w:ilvl="3" w:tplc="30A6B196">
      <w:start w:val="1"/>
      <w:numFmt w:val="decimal"/>
      <w:lvlText w:val="%4."/>
      <w:lvlJc w:val="left"/>
      <w:pPr>
        <w:ind w:left="2880" w:hanging="360"/>
      </w:pPr>
    </w:lvl>
    <w:lvl w:ilvl="4" w:tplc="3DB22636">
      <w:start w:val="1"/>
      <w:numFmt w:val="lowerLetter"/>
      <w:lvlText w:val="%5."/>
      <w:lvlJc w:val="left"/>
      <w:pPr>
        <w:ind w:left="3600" w:hanging="360"/>
      </w:pPr>
    </w:lvl>
    <w:lvl w:ilvl="5" w:tplc="49DA92DC">
      <w:start w:val="1"/>
      <w:numFmt w:val="lowerRoman"/>
      <w:lvlText w:val="%6."/>
      <w:lvlJc w:val="right"/>
      <w:pPr>
        <w:ind w:left="4320" w:hanging="180"/>
      </w:pPr>
    </w:lvl>
    <w:lvl w:ilvl="6" w:tplc="7042F200">
      <w:start w:val="1"/>
      <w:numFmt w:val="decimal"/>
      <w:lvlText w:val="%7."/>
      <w:lvlJc w:val="left"/>
      <w:pPr>
        <w:ind w:left="5040" w:hanging="360"/>
      </w:pPr>
    </w:lvl>
    <w:lvl w:ilvl="7" w:tplc="AFF8695C">
      <w:start w:val="1"/>
      <w:numFmt w:val="lowerLetter"/>
      <w:lvlText w:val="%8."/>
      <w:lvlJc w:val="left"/>
      <w:pPr>
        <w:ind w:left="5760" w:hanging="360"/>
      </w:pPr>
    </w:lvl>
    <w:lvl w:ilvl="8" w:tplc="8E1E9C2E">
      <w:start w:val="1"/>
      <w:numFmt w:val="lowerRoman"/>
      <w:lvlText w:val="%9."/>
      <w:lvlJc w:val="right"/>
      <w:pPr>
        <w:ind w:left="6480" w:hanging="180"/>
      </w:pPr>
    </w:lvl>
  </w:abstractNum>
  <w:abstractNum w:abstractNumId="10" w15:restartNumberingAfterBreak="0">
    <w:nsid w:val="55AD067B"/>
    <w:multiLevelType w:val="hybridMultilevel"/>
    <w:tmpl w:val="990E4160"/>
    <w:lvl w:ilvl="0" w:tplc="8F9CE3DC">
      <w:start w:val="4"/>
      <w:numFmt w:val="bullet"/>
      <w:pStyle w:val="PunktAufzhlung"/>
      <w:lvlText w:val="-"/>
      <w:lvlJc w:val="left"/>
      <w:pPr>
        <w:ind w:left="720" w:hanging="360"/>
      </w:pPr>
      <w:rPr>
        <w:rFonts w:ascii="Arial" w:eastAsia="Calibri" w:hAnsi="Arial" w:cs="Arial"/>
      </w:rPr>
    </w:lvl>
    <w:lvl w:ilvl="1" w:tplc="FAB6ACD2">
      <w:start w:val="1"/>
      <w:numFmt w:val="bullet"/>
      <w:lvlText w:val="o"/>
      <w:lvlJc w:val="left"/>
      <w:pPr>
        <w:ind w:left="1440" w:hanging="360"/>
      </w:pPr>
      <w:rPr>
        <w:rFonts w:ascii="Courier New" w:hAnsi="Courier New" w:cs="Courier New" w:hint="default"/>
      </w:rPr>
    </w:lvl>
    <w:lvl w:ilvl="2" w:tplc="954E37D4">
      <w:start w:val="1"/>
      <w:numFmt w:val="bullet"/>
      <w:pStyle w:val="PunktAufzhlung"/>
      <w:lvlText w:val=""/>
      <w:lvlJc w:val="left"/>
      <w:pPr>
        <w:ind w:left="2160" w:hanging="360"/>
      </w:pPr>
      <w:rPr>
        <w:rFonts w:ascii="Wingdings" w:hAnsi="Wingdings" w:hint="default"/>
      </w:rPr>
    </w:lvl>
    <w:lvl w:ilvl="3" w:tplc="0B787900">
      <w:start w:val="1"/>
      <w:numFmt w:val="bullet"/>
      <w:lvlText w:val=""/>
      <w:lvlJc w:val="left"/>
      <w:pPr>
        <w:ind w:left="2880" w:hanging="360"/>
      </w:pPr>
      <w:rPr>
        <w:rFonts w:ascii="Symbol" w:hAnsi="Symbol" w:hint="default"/>
      </w:rPr>
    </w:lvl>
    <w:lvl w:ilvl="4" w:tplc="5872871C">
      <w:start w:val="1"/>
      <w:numFmt w:val="bullet"/>
      <w:lvlText w:val="o"/>
      <w:lvlJc w:val="left"/>
      <w:pPr>
        <w:ind w:left="3600" w:hanging="360"/>
      </w:pPr>
      <w:rPr>
        <w:rFonts w:ascii="Courier New" w:hAnsi="Courier New" w:cs="Courier New" w:hint="default"/>
      </w:rPr>
    </w:lvl>
    <w:lvl w:ilvl="5" w:tplc="B980DA8A">
      <w:start w:val="1"/>
      <w:numFmt w:val="bullet"/>
      <w:lvlText w:val=""/>
      <w:lvlJc w:val="left"/>
      <w:pPr>
        <w:ind w:left="4320" w:hanging="360"/>
      </w:pPr>
      <w:rPr>
        <w:rFonts w:ascii="Wingdings" w:hAnsi="Wingdings" w:hint="default"/>
      </w:rPr>
    </w:lvl>
    <w:lvl w:ilvl="6" w:tplc="83F23AF6">
      <w:start w:val="1"/>
      <w:numFmt w:val="bullet"/>
      <w:lvlText w:val=""/>
      <w:lvlJc w:val="left"/>
      <w:pPr>
        <w:ind w:left="5040" w:hanging="360"/>
      </w:pPr>
      <w:rPr>
        <w:rFonts w:ascii="Symbol" w:hAnsi="Symbol" w:hint="default"/>
      </w:rPr>
    </w:lvl>
    <w:lvl w:ilvl="7" w:tplc="4D284892">
      <w:start w:val="1"/>
      <w:numFmt w:val="bullet"/>
      <w:lvlText w:val="o"/>
      <w:lvlJc w:val="left"/>
      <w:pPr>
        <w:ind w:left="5760" w:hanging="360"/>
      </w:pPr>
      <w:rPr>
        <w:rFonts w:ascii="Courier New" w:hAnsi="Courier New" w:cs="Courier New" w:hint="default"/>
      </w:rPr>
    </w:lvl>
    <w:lvl w:ilvl="8" w:tplc="91A84B90">
      <w:start w:val="1"/>
      <w:numFmt w:val="bullet"/>
      <w:lvlText w:val=""/>
      <w:lvlJc w:val="left"/>
      <w:pPr>
        <w:ind w:left="6480" w:hanging="360"/>
      </w:pPr>
      <w:rPr>
        <w:rFonts w:ascii="Wingdings" w:hAnsi="Wingdings" w:hint="default"/>
      </w:rPr>
    </w:lvl>
  </w:abstractNum>
  <w:abstractNum w:abstractNumId="11" w15:restartNumberingAfterBreak="0">
    <w:nsid w:val="692329F4"/>
    <w:multiLevelType w:val="hybridMultilevel"/>
    <w:tmpl w:val="76F07B36"/>
    <w:lvl w:ilvl="0" w:tplc="5A5619D2">
      <w:start w:val="1"/>
      <w:numFmt w:val="bullet"/>
      <w:pStyle w:val="AufzhlungPunkt"/>
      <w:lvlText w:val=""/>
      <w:lvlJc w:val="left"/>
      <w:pPr>
        <w:ind w:left="720" w:hanging="360"/>
      </w:pPr>
      <w:rPr>
        <w:rFonts w:ascii="Symbol" w:hAnsi="Symbol" w:hint="default"/>
      </w:rPr>
    </w:lvl>
    <w:lvl w:ilvl="1" w:tplc="E968BE56">
      <w:start w:val="1"/>
      <w:numFmt w:val="bullet"/>
      <w:lvlText w:val="o"/>
      <w:lvlJc w:val="left"/>
      <w:pPr>
        <w:ind w:left="1440" w:hanging="360"/>
      </w:pPr>
      <w:rPr>
        <w:rFonts w:ascii="Courier New" w:hAnsi="Courier New" w:cs="Courier New" w:hint="default"/>
      </w:rPr>
    </w:lvl>
    <w:lvl w:ilvl="2" w:tplc="79A88D00">
      <w:start w:val="1"/>
      <w:numFmt w:val="bullet"/>
      <w:lvlText w:val=""/>
      <w:lvlJc w:val="left"/>
      <w:pPr>
        <w:ind w:left="2160" w:hanging="360"/>
      </w:pPr>
      <w:rPr>
        <w:rFonts w:ascii="Wingdings" w:hAnsi="Wingdings" w:hint="default"/>
      </w:rPr>
    </w:lvl>
    <w:lvl w:ilvl="3" w:tplc="DBDAE1EA">
      <w:start w:val="1"/>
      <w:numFmt w:val="bullet"/>
      <w:lvlText w:val=""/>
      <w:lvlJc w:val="left"/>
      <w:pPr>
        <w:ind w:left="2880" w:hanging="360"/>
      </w:pPr>
      <w:rPr>
        <w:rFonts w:ascii="Symbol" w:hAnsi="Symbol" w:hint="default"/>
      </w:rPr>
    </w:lvl>
    <w:lvl w:ilvl="4" w:tplc="7382B826">
      <w:start w:val="1"/>
      <w:numFmt w:val="bullet"/>
      <w:lvlText w:val="o"/>
      <w:lvlJc w:val="left"/>
      <w:pPr>
        <w:ind w:left="3600" w:hanging="360"/>
      </w:pPr>
      <w:rPr>
        <w:rFonts w:ascii="Courier New" w:hAnsi="Courier New" w:cs="Courier New" w:hint="default"/>
      </w:rPr>
    </w:lvl>
    <w:lvl w:ilvl="5" w:tplc="1CC04420">
      <w:start w:val="1"/>
      <w:numFmt w:val="bullet"/>
      <w:lvlText w:val=""/>
      <w:lvlJc w:val="left"/>
      <w:pPr>
        <w:ind w:left="4320" w:hanging="360"/>
      </w:pPr>
      <w:rPr>
        <w:rFonts w:ascii="Wingdings" w:hAnsi="Wingdings" w:hint="default"/>
      </w:rPr>
    </w:lvl>
    <w:lvl w:ilvl="6" w:tplc="D2602384">
      <w:start w:val="1"/>
      <w:numFmt w:val="bullet"/>
      <w:lvlText w:val=""/>
      <w:lvlJc w:val="left"/>
      <w:pPr>
        <w:ind w:left="5040" w:hanging="360"/>
      </w:pPr>
      <w:rPr>
        <w:rFonts w:ascii="Symbol" w:hAnsi="Symbol" w:hint="default"/>
      </w:rPr>
    </w:lvl>
    <w:lvl w:ilvl="7" w:tplc="F34681FE">
      <w:start w:val="1"/>
      <w:numFmt w:val="bullet"/>
      <w:lvlText w:val="o"/>
      <w:lvlJc w:val="left"/>
      <w:pPr>
        <w:ind w:left="5760" w:hanging="360"/>
      </w:pPr>
      <w:rPr>
        <w:rFonts w:ascii="Courier New" w:hAnsi="Courier New" w:cs="Courier New" w:hint="default"/>
      </w:rPr>
    </w:lvl>
    <w:lvl w:ilvl="8" w:tplc="8C005D08">
      <w:start w:val="1"/>
      <w:numFmt w:val="bullet"/>
      <w:lvlText w:val=""/>
      <w:lvlJc w:val="left"/>
      <w:pPr>
        <w:ind w:left="6480" w:hanging="360"/>
      </w:pPr>
      <w:rPr>
        <w:rFonts w:ascii="Wingdings" w:hAnsi="Wingdings" w:hint="default"/>
      </w:rPr>
    </w:lvl>
  </w:abstractNum>
  <w:abstractNum w:abstractNumId="12" w15:restartNumberingAfterBreak="0">
    <w:nsid w:val="6B2534C8"/>
    <w:multiLevelType w:val="multilevel"/>
    <w:tmpl w:val="F8C06650"/>
    <w:lvl w:ilvl="0">
      <w:start w:val="1"/>
      <w:numFmt w:val="decimal"/>
      <w:pStyle w:val="Titel1"/>
      <w:lvlText w:val="%1)"/>
      <w:lvlJc w:val="left"/>
      <w:pPr>
        <w:ind w:left="432" w:hanging="383"/>
      </w:pPr>
      <w:rPr>
        <w:rFonts w:hint="default"/>
      </w:rPr>
    </w:lvl>
    <w:lvl w:ilvl="1">
      <w:start w:val="1"/>
      <w:numFmt w:val="decimal"/>
      <w:lvlText w:val="%1.%2"/>
      <w:lvlJc w:val="left"/>
      <w:pPr>
        <w:ind w:left="576" w:hanging="527"/>
      </w:pPr>
      <w:rPr>
        <w:rFonts w:hint="default"/>
      </w:rPr>
    </w:lvl>
    <w:lvl w:ilvl="2">
      <w:start w:val="1"/>
      <w:numFmt w:val="decimal"/>
      <w:lvlText w:val="%1.%2.%3"/>
      <w:lvlJc w:val="left"/>
      <w:pPr>
        <w:ind w:left="720" w:hanging="671"/>
      </w:pPr>
      <w:rPr>
        <w:rFonts w:hint="default"/>
        <w:sz w:val="20"/>
        <w:szCs w:val="20"/>
      </w:rPr>
    </w:lvl>
    <w:lvl w:ilvl="3">
      <w:start w:val="1"/>
      <w:numFmt w:val="decimal"/>
      <w:lvlText w:val="%1.%2.%3.%4"/>
      <w:lvlJc w:val="left"/>
      <w:pPr>
        <w:ind w:left="864" w:hanging="815"/>
      </w:pPr>
      <w:rPr>
        <w:rFonts w:hint="default"/>
      </w:rPr>
    </w:lvl>
    <w:lvl w:ilvl="4">
      <w:start w:val="1"/>
      <w:numFmt w:val="decimal"/>
      <w:lvlText w:val="%1.%2.%3.%4.%5"/>
      <w:lvlJc w:val="left"/>
      <w:pPr>
        <w:ind w:left="1008" w:hanging="959"/>
      </w:pPr>
      <w:rPr>
        <w:rFonts w:hint="default"/>
      </w:rPr>
    </w:lvl>
    <w:lvl w:ilvl="5">
      <w:start w:val="1"/>
      <w:numFmt w:val="decimal"/>
      <w:lvlText w:val="%1.%2.%3.%4.%5.%6"/>
      <w:lvlJc w:val="left"/>
      <w:pPr>
        <w:ind w:left="1152" w:hanging="1103"/>
      </w:pPr>
      <w:rPr>
        <w:rFonts w:hint="default"/>
      </w:rPr>
    </w:lvl>
    <w:lvl w:ilvl="6">
      <w:start w:val="1"/>
      <w:numFmt w:val="decimal"/>
      <w:lvlText w:val="%1.%2.%3.%4.%5.%6.%7"/>
      <w:lvlJc w:val="left"/>
      <w:pPr>
        <w:ind w:left="1296" w:hanging="1247"/>
      </w:pPr>
      <w:rPr>
        <w:rFonts w:hint="default"/>
      </w:rPr>
    </w:lvl>
    <w:lvl w:ilvl="7">
      <w:start w:val="1"/>
      <w:numFmt w:val="decimal"/>
      <w:lvlText w:val="%1.%2.%3.%4.%5.%6.%7.%8"/>
      <w:lvlJc w:val="left"/>
      <w:pPr>
        <w:ind w:left="1440" w:hanging="1391"/>
      </w:pPr>
      <w:rPr>
        <w:rFonts w:hint="default"/>
      </w:rPr>
    </w:lvl>
    <w:lvl w:ilvl="8">
      <w:start w:val="1"/>
      <w:numFmt w:val="decimal"/>
      <w:lvlText w:val="%1.%2.%3.%4.%5.%6.%7.%8.%9"/>
      <w:lvlJc w:val="left"/>
      <w:pPr>
        <w:ind w:left="1584" w:hanging="1535"/>
      </w:pPr>
      <w:rPr>
        <w:rFonts w:hint="default"/>
      </w:rPr>
    </w:lvl>
  </w:abstractNum>
  <w:abstractNum w:abstractNumId="13" w15:restartNumberingAfterBreak="0">
    <w:nsid w:val="7DDA6C78"/>
    <w:multiLevelType w:val="hybridMultilevel"/>
    <w:tmpl w:val="2EDE4D02"/>
    <w:lvl w:ilvl="0" w:tplc="B184BC96">
      <w:start w:val="1"/>
      <w:numFmt w:val="bullet"/>
      <w:lvlText w:val="-"/>
      <w:lvlJc w:val="left"/>
      <w:pPr>
        <w:ind w:left="720" w:hanging="360"/>
      </w:pPr>
      <w:rPr>
        <w:rFonts w:ascii="Arial" w:eastAsia="Times New Roman" w:hAnsi="Arial" w:cs="Arial" w:hint="default"/>
      </w:rPr>
    </w:lvl>
    <w:lvl w:ilvl="1" w:tplc="7AB636B0">
      <w:start w:val="1"/>
      <w:numFmt w:val="bullet"/>
      <w:lvlText w:val="o"/>
      <w:lvlJc w:val="left"/>
      <w:pPr>
        <w:ind w:left="1440" w:hanging="360"/>
      </w:pPr>
      <w:rPr>
        <w:rFonts w:ascii="Courier New" w:hAnsi="Courier New" w:cs="Courier New" w:hint="default"/>
      </w:rPr>
    </w:lvl>
    <w:lvl w:ilvl="2" w:tplc="78BAD87E">
      <w:start w:val="1"/>
      <w:numFmt w:val="bullet"/>
      <w:lvlText w:val=""/>
      <w:lvlJc w:val="left"/>
      <w:pPr>
        <w:ind w:left="2160" w:hanging="360"/>
      </w:pPr>
      <w:rPr>
        <w:rFonts w:ascii="Wingdings" w:hAnsi="Wingdings" w:hint="default"/>
      </w:rPr>
    </w:lvl>
    <w:lvl w:ilvl="3" w:tplc="1BC826D2">
      <w:start w:val="1"/>
      <w:numFmt w:val="bullet"/>
      <w:lvlText w:val=""/>
      <w:lvlJc w:val="left"/>
      <w:pPr>
        <w:ind w:left="2880" w:hanging="360"/>
      </w:pPr>
      <w:rPr>
        <w:rFonts w:ascii="Symbol" w:hAnsi="Symbol" w:hint="default"/>
      </w:rPr>
    </w:lvl>
    <w:lvl w:ilvl="4" w:tplc="9E244F98">
      <w:start w:val="1"/>
      <w:numFmt w:val="bullet"/>
      <w:lvlText w:val="o"/>
      <w:lvlJc w:val="left"/>
      <w:pPr>
        <w:ind w:left="3600" w:hanging="360"/>
      </w:pPr>
      <w:rPr>
        <w:rFonts w:ascii="Courier New" w:hAnsi="Courier New" w:cs="Courier New" w:hint="default"/>
      </w:rPr>
    </w:lvl>
    <w:lvl w:ilvl="5" w:tplc="0A64FC72">
      <w:start w:val="1"/>
      <w:numFmt w:val="bullet"/>
      <w:lvlText w:val=""/>
      <w:lvlJc w:val="left"/>
      <w:pPr>
        <w:ind w:left="4320" w:hanging="360"/>
      </w:pPr>
      <w:rPr>
        <w:rFonts w:ascii="Wingdings" w:hAnsi="Wingdings" w:hint="default"/>
      </w:rPr>
    </w:lvl>
    <w:lvl w:ilvl="6" w:tplc="2AF43D82">
      <w:start w:val="1"/>
      <w:numFmt w:val="bullet"/>
      <w:lvlText w:val=""/>
      <w:lvlJc w:val="left"/>
      <w:pPr>
        <w:ind w:left="5040" w:hanging="360"/>
      </w:pPr>
      <w:rPr>
        <w:rFonts w:ascii="Symbol" w:hAnsi="Symbol" w:hint="default"/>
      </w:rPr>
    </w:lvl>
    <w:lvl w:ilvl="7" w:tplc="2104FE70">
      <w:start w:val="1"/>
      <w:numFmt w:val="bullet"/>
      <w:lvlText w:val="o"/>
      <w:lvlJc w:val="left"/>
      <w:pPr>
        <w:ind w:left="5760" w:hanging="360"/>
      </w:pPr>
      <w:rPr>
        <w:rFonts w:ascii="Courier New" w:hAnsi="Courier New" w:cs="Courier New" w:hint="default"/>
      </w:rPr>
    </w:lvl>
    <w:lvl w:ilvl="8" w:tplc="A948E1B0">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5"/>
  </w:num>
  <w:num w:numId="4">
    <w:abstractNumId w:val="3"/>
  </w:num>
  <w:num w:numId="5">
    <w:abstractNumId w:val="7"/>
  </w:num>
  <w:num w:numId="6">
    <w:abstractNumId w:val="9"/>
  </w:num>
  <w:num w:numId="7">
    <w:abstractNumId w:val="0"/>
  </w:num>
  <w:num w:numId="8">
    <w:abstractNumId w:val="1"/>
  </w:num>
  <w:num w:numId="9">
    <w:abstractNumId w:val="12"/>
  </w:num>
  <w:num w:numId="10">
    <w:abstractNumId w:val="10"/>
  </w:num>
  <w:num w:numId="11">
    <w:abstractNumId w:val="4"/>
  </w:num>
  <w:num w:numId="12">
    <w:abstractNumId w:val="2"/>
  </w:num>
  <w:num w:numId="13">
    <w:abstractNumId w:val="3"/>
  </w:num>
  <w:num w:numId="14">
    <w:abstractNumId w:val="13"/>
  </w:num>
  <w:num w:numId="15">
    <w:abstractNumId w:val="11"/>
  </w:num>
  <w:num w:numId="16">
    <w:abstractNumId w:val="11"/>
  </w:num>
  <w:num w:numId="17">
    <w:abstractNumId w:val="11"/>
  </w:num>
  <w:num w:numId="18">
    <w:abstractNumId w:val="11"/>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EC"/>
    <w:rsid w:val="00001743"/>
    <w:rsid w:val="00047D06"/>
    <w:rsid w:val="00080604"/>
    <w:rsid w:val="000858C1"/>
    <w:rsid w:val="000D4E93"/>
    <w:rsid w:val="000E7A70"/>
    <w:rsid w:val="00100B92"/>
    <w:rsid w:val="00125251"/>
    <w:rsid w:val="00141CD8"/>
    <w:rsid w:val="001D6C23"/>
    <w:rsid w:val="00204A64"/>
    <w:rsid w:val="0021059F"/>
    <w:rsid w:val="00215419"/>
    <w:rsid w:val="0024726C"/>
    <w:rsid w:val="002A2960"/>
    <w:rsid w:val="002B4C7D"/>
    <w:rsid w:val="003164A6"/>
    <w:rsid w:val="00381543"/>
    <w:rsid w:val="00395336"/>
    <w:rsid w:val="003E0986"/>
    <w:rsid w:val="003E3DE4"/>
    <w:rsid w:val="003F7E08"/>
    <w:rsid w:val="00421197"/>
    <w:rsid w:val="004402D3"/>
    <w:rsid w:val="004B232D"/>
    <w:rsid w:val="004C1E4F"/>
    <w:rsid w:val="004F567C"/>
    <w:rsid w:val="00515E58"/>
    <w:rsid w:val="00583734"/>
    <w:rsid w:val="005E701D"/>
    <w:rsid w:val="0062084C"/>
    <w:rsid w:val="00654E10"/>
    <w:rsid w:val="00665030"/>
    <w:rsid w:val="006A4E8E"/>
    <w:rsid w:val="00723DF2"/>
    <w:rsid w:val="00737901"/>
    <w:rsid w:val="00746202"/>
    <w:rsid w:val="007976FF"/>
    <w:rsid w:val="007C4C4F"/>
    <w:rsid w:val="007C6931"/>
    <w:rsid w:val="007E7F3A"/>
    <w:rsid w:val="00804081"/>
    <w:rsid w:val="00867F18"/>
    <w:rsid w:val="00870CE8"/>
    <w:rsid w:val="00887889"/>
    <w:rsid w:val="008B6ADF"/>
    <w:rsid w:val="008F64E8"/>
    <w:rsid w:val="009523AC"/>
    <w:rsid w:val="00991D46"/>
    <w:rsid w:val="009D347F"/>
    <w:rsid w:val="009E2ACD"/>
    <w:rsid w:val="00A7662F"/>
    <w:rsid w:val="00A90D84"/>
    <w:rsid w:val="00AC1274"/>
    <w:rsid w:val="00AD2433"/>
    <w:rsid w:val="00AD6C28"/>
    <w:rsid w:val="00AF2502"/>
    <w:rsid w:val="00B1575E"/>
    <w:rsid w:val="00B37684"/>
    <w:rsid w:val="00B42A8A"/>
    <w:rsid w:val="00B83906"/>
    <w:rsid w:val="00C142FB"/>
    <w:rsid w:val="00C5442F"/>
    <w:rsid w:val="00C71882"/>
    <w:rsid w:val="00CA5324"/>
    <w:rsid w:val="00D26756"/>
    <w:rsid w:val="00D56115"/>
    <w:rsid w:val="00DA2658"/>
    <w:rsid w:val="00E34EC5"/>
    <w:rsid w:val="00EF4827"/>
    <w:rsid w:val="00EF4BEC"/>
    <w:rsid w:val="00F0441B"/>
    <w:rsid w:val="00F07457"/>
    <w:rsid w:val="00F26DC4"/>
    <w:rsid w:val="00FF7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ABD727"/>
  <w15:docId w15:val="{C7B8559E-4F32-4648-82B4-18DD784F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60"/>
    </w:pPr>
    <w:rPr>
      <w:rFonts w:ascii="Arial" w:hAnsi="Arial"/>
      <w:sz w:val="20"/>
    </w:rPr>
  </w:style>
  <w:style w:type="paragraph" w:styleId="berschrift1">
    <w:name w:val="heading 1"/>
    <w:basedOn w:val="Standard"/>
    <w:next w:val="Standard"/>
    <w:link w:val="berschrift1Zchn"/>
    <w:uiPriority w:val="9"/>
    <w:qFormat/>
    <w:pPr>
      <w:keepNext/>
      <w:keepLines/>
      <w:numPr>
        <w:numId w:val="4"/>
      </w:numPr>
      <w:outlineLvl w:val="0"/>
    </w:pPr>
    <w:rPr>
      <w:rFonts w:eastAsiaTheme="majorEastAsia" w:cstheme="majorBidi"/>
      <w:b/>
      <w:color w:val="000000" w:themeColor="text1"/>
      <w:szCs w:val="32"/>
      <w:lang w:val="it-IT"/>
    </w:rPr>
  </w:style>
  <w:style w:type="paragraph" w:styleId="berschrift2">
    <w:name w:val="heading 2"/>
    <w:basedOn w:val="Standard"/>
    <w:next w:val="Standard"/>
    <w:link w:val="berschrift2Zchn"/>
    <w:uiPriority w:val="9"/>
    <w:unhideWhenUsed/>
    <w:qFormat/>
    <w:rsid w:val="00B83906"/>
    <w:pPr>
      <w:keepNext/>
      <w:keepLines/>
      <w:numPr>
        <w:ilvl w:val="1"/>
        <w:numId w:val="4"/>
      </w:numPr>
      <w:ind w:left="567"/>
      <w:outlineLvl w:val="1"/>
    </w:pPr>
    <w:rPr>
      <w:rFonts w:eastAsiaTheme="majorEastAsia" w:cstheme="majorBidi"/>
      <w:b/>
      <w:szCs w:val="26"/>
      <w:lang w:val="it-IT"/>
    </w:rPr>
  </w:style>
  <w:style w:type="paragraph" w:styleId="berschrift3">
    <w:name w:val="heading 3"/>
    <w:basedOn w:val="Standard"/>
    <w:next w:val="Standard"/>
    <w:link w:val="berschrift3Zchn"/>
    <w:uiPriority w:val="9"/>
    <w:unhideWhenUsed/>
    <w:qFormat/>
    <w:rsid w:val="00B83906"/>
    <w:pPr>
      <w:keepNext/>
      <w:keepLines/>
      <w:numPr>
        <w:ilvl w:val="2"/>
        <w:numId w:val="4"/>
      </w:numPr>
      <w:ind w:left="709"/>
      <w:outlineLvl w:val="2"/>
    </w:pPr>
    <w:rPr>
      <w:rFonts w:eastAsiaTheme="majorEastAsia" w:cstheme="majorBidi"/>
      <w:b/>
      <w:szCs w:val="24"/>
      <w:lang w:val="it-IT"/>
    </w:rPr>
  </w:style>
  <w:style w:type="paragraph" w:styleId="berschrift4">
    <w:name w:val="heading 4"/>
    <w:basedOn w:val="Standard"/>
    <w:next w:val="Standard"/>
    <w:link w:val="berschrift4Zchn"/>
    <w:uiPriority w:val="9"/>
    <w:unhideWhenUsed/>
    <w:qFormat/>
    <w:pPr>
      <w:keepNext/>
      <w:keepLines/>
      <w:numPr>
        <w:ilvl w:val="3"/>
        <w:numId w:val="4"/>
      </w:numPr>
      <w:spacing w:before="40" w:after="0"/>
      <w:outlineLvl w:val="3"/>
    </w:pPr>
    <w:rPr>
      <w:rFonts w:eastAsiaTheme="majorEastAsia" w:cstheme="majorBidi"/>
      <w:b/>
      <w:iCs/>
    </w:rPr>
  </w:style>
  <w:style w:type="paragraph" w:styleId="berschrift5">
    <w:name w:val="heading 5"/>
    <w:basedOn w:val="Standard"/>
    <w:next w:val="Standard"/>
    <w:link w:val="berschrift5Zchn"/>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Arial" w:eastAsiaTheme="majorEastAsia" w:hAnsi="Arial" w:cstheme="majorBidi"/>
      <w:b/>
      <w:color w:val="000000" w:themeColor="text1"/>
      <w:sz w:val="20"/>
      <w:szCs w:val="32"/>
      <w:lang w:val="it-IT"/>
    </w:rPr>
  </w:style>
  <w:style w:type="character" w:customStyle="1" w:styleId="berschrift2Zchn">
    <w:name w:val="Überschrift 2 Zchn"/>
    <w:basedOn w:val="Absatz-Standardschriftart"/>
    <w:link w:val="berschrift2"/>
    <w:uiPriority w:val="9"/>
    <w:rsid w:val="00B83906"/>
    <w:rPr>
      <w:rFonts w:ascii="Arial" w:eastAsiaTheme="majorEastAsia" w:hAnsi="Arial" w:cstheme="majorBidi"/>
      <w:b/>
      <w:sz w:val="20"/>
      <w:szCs w:val="26"/>
      <w:lang w:val="it-IT"/>
    </w:rPr>
  </w:style>
  <w:style w:type="paragraph" w:styleId="Listenabsatz">
    <w:name w:val="List Paragraph"/>
    <w:basedOn w:val="Standard"/>
    <w:link w:val="ListenabsatzZchn"/>
    <w:uiPriority w:val="34"/>
    <w:qFormat/>
    <w:pPr>
      <w:ind w:left="720"/>
      <w:contextualSpacing/>
    </w:pPr>
  </w:style>
  <w:style w:type="character" w:customStyle="1" w:styleId="berschrift3Zchn">
    <w:name w:val="Überschrift 3 Zchn"/>
    <w:basedOn w:val="Absatz-Standardschriftart"/>
    <w:link w:val="berschrift3"/>
    <w:uiPriority w:val="9"/>
    <w:rsid w:val="00B83906"/>
    <w:rPr>
      <w:rFonts w:ascii="Arial" w:eastAsiaTheme="majorEastAsia" w:hAnsi="Arial" w:cstheme="majorBidi"/>
      <w:b/>
      <w:sz w:val="20"/>
      <w:szCs w:val="24"/>
      <w:lang w:val="it-IT"/>
    </w:rPr>
  </w:style>
  <w:style w:type="paragraph" w:customStyle="1" w:styleId="AufzhlungPunkt">
    <w:name w:val="Aufzählung Punkt"/>
    <w:basedOn w:val="Listenabsatz"/>
    <w:link w:val="AufzhlungPunktZchn"/>
    <w:qFormat/>
    <w:pPr>
      <w:numPr>
        <w:numId w:val="1"/>
      </w:numPr>
    </w:pPr>
    <w:rPr>
      <w:rFonts w:cs="Arial"/>
      <w:lang w:val="it-IT"/>
    </w:rPr>
  </w:style>
  <w:style w:type="paragraph" w:customStyle="1" w:styleId="AufzhlungStrich">
    <w:name w:val="Aufzählung Strich"/>
    <w:basedOn w:val="Listenabsatz"/>
    <w:link w:val="AufzhlungStrichZchn"/>
    <w:qFormat/>
    <w:pPr>
      <w:numPr>
        <w:numId w:val="2"/>
      </w:numPr>
    </w:pPr>
    <w:rPr>
      <w:rFonts w:cs="Arial"/>
      <w:lang w:val="it-IT"/>
    </w:rPr>
  </w:style>
  <w:style w:type="character" w:customStyle="1" w:styleId="ListenabsatzZchn">
    <w:name w:val="Listenabsatz Zchn"/>
    <w:basedOn w:val="Absatz-Standardschriftart"/>
    <w:link w:val="Listenabsatz"/>
    <w:uiPriority w:val="34"/>
    <w:rPr>
      <w:rFonts w:ascii="Arial" w:hAnsi="Arial"/>
      <w:sz w:val="18"/>
    </w:rPr>
  </w:style>
  <w:style w:type="character" w:customStyle="1" w:styleId="AufzhlungPunktZchn">
    <w:name w:val="Aufzählung Punkt Zchn"/>
    <w:basedOn w:val="ListenabsatzZchn"/>
    <w:link w:val="AufzhlungPunkt"/>
    <w:rPr>
      <w:rFonts w:ascii="Arial" w:hAnsi="Arial" w:cs="Arial"/>
      <w:sz w:val="20"/>
      <w:lang w:val="it-IT"/>
    </w:rPr>
  </w:style>
  <w:style w:type="paragraph" w:customStyle="1" w:styleId="AufzhlungQuadrat">
    <w:name w:val="Aufzählung Quadrat"/>
    <w:basedOn w:val="Listenabsatz"/>
    <w:link w:val="AufzhlungQuadratZchn"/>
    <w:qFormat/>
    <w:pPr>
      <w:numPr>
        <w:numId w:val="3"/>
      </w:numPr>
      <w:ind w:left="1418" w:hanging="425"/>
    </w:pPr>
    <w:rPr>
      <w:rFonts w:cs="Arial"/>
      <w:lang w:val="it-IT"/>
    </w:rPr>
  </w:style>
  <w:style w:type="character" w:customStyle="1" w:styleId="AufzhlungStrichZchn">
    <w:name w:val="Aufzählung Strich Zchn"/>
    <w:basedOn w:val="ListenabsatzZchn"/>
    <w:link w:val="AufzhlungStrich"/>
    <w:rPr>
      <w:rFonts w:ascii="Arial" w:hAnsi="Arial" w:cs="Arial"/>
      <w:sz w:val="20"/>
      <w:lang w:val="it-IT"/>
    </w:rPr>
  </w:style>
  <w:style w:type="character" w:customStyle="1" w:styleId="berschrift4Zchn">
    <w:name w:val="Überschrift 4 Zchn"/>
    <w:basedOn w:val="Absatz-Standardschriftart"/>
    <w:link w:val="berschrift4"/>
    <w:uiPriority w:val="9"/>
    <w:rPr>
      <w:rFonts w:ascii="Arial" w:eastAsiaTheme="majorEastAsia" w:hAnsi="Arial" w:cstheme="majorBidi"/>
      <w:b/>
      <w:iCs/>
      <w:sz w:val="20"/>
    </w:rPr>
  </w:style>
  <w:style w:type="character" w:customStyle="1" w:styleId="AufzhlungQuadratZchn">
    <w:name w:val="Aufzählung Quadrat Zchn"/>
    <w:basedOn w:val="ListenabsatzZchn"/>
    <w:link w:val="AufzhlungQuadrat"/>
    <w:rPr>
      <w:rFonts w:ascii="Arial" w:hAnsi="Arial" w:cs="Arial"/>
      <w:sz w:val="20"/>
      <w:lang w:val="it-IT"/>
    </w:rPr>
  </w:style>
  <w:style w:type="character" w:styleId="Hyperlink">
    <w:name w:val="Hyperlink"/>
    <w:basedOn w:val="Absatz-Standardschriftart"/>
    <w:uiPriority w:val="99"/>
    <w:unhideWhenUsed/>
    <w:rPr>
      <w:color w:val="0563C1" w:themeColor="hyperlink"/>
      <w:u w:val="single"/>
    </w:rPr>
  </w:style>
  <w:style w:type="paragraph" w:styleId="Verzeichnis1">
    <w:name w:val="toc 1"/>
    <w:basedOn w:val="Standard"/>
    <w:next w:val="Standard"/>
    <w:uiPriority w:val="39"/>
    <w:unhideWhenUsed/>
    <w:pPr>
      <w:spacing w:after="100"/>
    </w:pPr>
    <w:rPr>
      <w:b/>
    </w:rPr>
  </w:style>
  <w:style w:type="paragraph" w:styleId="Verzeichnis2">
    <w:name w:val="toc 2"/>
    <w:basedOn w:val="Standard"/>
    <w:next w:val="Standard"/>
    <w:uiPriority w:val="39"/>
    <w:unhideWhenUsed/>
    <w:pPr>
      <w:tabs>
        <w:tab w:val="left" w:pos="880"/>
        <w:tab w:val="right" w:leader="dot" w:pos="9060"/>
      </w:tabs>
      <w:spacing w:after="100"/>
      <w:ind w:left="200"/>
    </w:pPr>
  </w:style>
  <w:style w:type="paragraph" w:styleId="Verzeichnis3">
    <w:name w:val="toc 3"/>
    <w:basedOn w:val="Standard"/>
    <w:next w:val="Standard"/>
    <w:uiPriority w:val="39"/>
    <w:unhideWhenUsed/>
    <w:pPr>
      <w:spacing w:after="100"/>
      <w:ind w:left="400"/>
    </w:pPr>
  </w:style>
  <w:style w:type="paragraph" w:styleId="Verzeichnis4">
    <w:name w:val="toc 4"/>
    <w:basedOn w:val="Standard"/>
    <w:next w:val="Standard"/>
    <w:uiPriority w:val="39"/>
    <w:unhideWhenUsed/>
    <w:pPr>
      <w:spacing w:after="100"/>
      <w:ind w:left="660"/>
    </w:pPr>
    <w:rPr>
      <w:rFonts w:asciiTheme="minorHAnsi" w:eastAsiaTheme="minorEastAsia" w:hAnsiTheme="minorHAnsi"/>
      <w:sz w:val="22"/>
      <w:lang w:eastAsia="de-CH"/>
    </w:rPr>
  </w:style>
  <w:style w:type="paragraph" w:styleId="Verzeichnis5">
    <w:name w:val="toc 5"/>
    <w:basedOn w:val="Standard"/>
    <w:next w:val="Standard"/>
    <w:uiPriority w:val="39"/>
    <w:unhideWhenUsed/>
    <w:pPr>
      <w:spacing w:after="100"/>
      <w:ind w:left="880"/>
    </w:pPr>
    <w:rPr>
      <w:rFonts w:asciiTheme="minorHAnsi" w:eastAsiaTheme="minorEastAsia" w:hAnsiTheme="minorHAnsi"/>
      <w:sz w:val="22"/>
      <w:lang w:eastAsia="de-CH"/>
    </w:rPr>
  </w:style>
  <w:style w:type="paragraph" w:styleId="Verzeichnis6">
    <w:name w:val="toc 6"/>
    <w:basedOn w:val="Standard"/>
    <w:next w:val="Standard"/>
    <w:uiPriority w:val="39"/>
    <w:unhideWhenUsed/>
    <w:pPr>
      <w:spacing w:after="100"/>
      <w:ind w:left="1100"/>
    </w:pPr>
    <w:rPr>
      <w:rFonts w:asciiTheme="minorHAnsi" w:eastAsiaTheme="minorEastAsia" w:hAnsiTheme="minorHAnsi"/>
      <w:sz w:val="22"/>
      <w:lang w:eastAsia="de-CH"/>
    </w:rPr>
  </w:style>
  <w:style w:type="paragraph" w:styleId="Verzeichnis7">
    <w:name w:val="toc 7"/>
    <w:basedOn w:val="Standard"/>
    <w:next w:val="Standard"/>
    <w:uiPriority w:val="39"/>
    <w:unhideWhenUsed/>
    <w:pPr>
      <w:spacing w:after="100"/>
      <w:ind w:left="1320"/>
    </w:pPr>
    <w:rPr>
      <w:rFonts w:asciiTheme="minorHAnsi" w:eastAsiaTheme="minorEastAsia" w:hAnsiTheme="minorHAnsi"/>
      <w:sz w:val="22"/>
      <w:lang w:eastAsia="de-CH"/>
    </w:rPr>
  </w:style>
  <w:style w:type="paragraph" w:styleId="Verzeichnis8">
    <w:name w:val="toc 8"/>
    <w:basedOn w:val="Standard"/>
    <w:next w:val="Standard"/>
    <w:uiPriority w:val="39"/>
    <w:unhideWhenUsed/>
    <w:pPr>
      <w:spacing w:after="100"/>
      <w:ind w:left="1540"/>
    </w:pPr>
    <w:rPr>
      <w:rFonts w:asciiTheme="minorHAnsi" w:eastAsiaTheme="minorEastAsia" w:hAnsiTheme="minorHAnsi"/>
      <w:sz w:val="22"/>
      <w:lang w:eastAsia="de-CH"/>
    </w:rPr>
  </w:style>
  <w:style w:type="paragraph" w:styleId="Verzeichnis9">
    <w:name w:val="toc 9"/>
    <w:basedOn w:val="Standard"/>
    <w:next w:val="Standard"/>
    <w:uiPriority w:val="39"/>
    <w:unhideWhenUsed/>
    <w:pPr>
      <w:spacing w:after="100"/>
      <w:ind w:left="1760"/>
    </w:pPr>
    <w:rPr>
      <w:rFonts w:asciiTheme="minorHAnsi" w:eastAsiaTheme="minorEastAsia" w:hAnsiTheme="minorHAnsi"/>
      <w:sz w:val="22"/>
      <w:lang w:eastAsia="de-CH"/>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styleId="KeinLeerraum">
    <w:name w:val="No Spacing"/>
    <w:uiPriority w:val="1"/>
    <w:qFormat/>
    <w:pPr>
      <w:spacing w:after="0" w:line="240" w:lineRule="auto"/>
    </w:pPr>
    <w:rPr>
      <w:rFonts w:ascii="Arial" w:hAnsi="Arial"/>
      <w:sz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berarbeitung">
    <w:name w:val="Revision"/>
    <w:hidden/>
    <w:uiPriority w:val="99"/>
    <w:semiHidden/>
    <w:pPr>
      <w:spacing w:after="0" w:line="240" w:lineRule="auto"/>
    </w:pPr>
    <w:rPr>
      <w:rFonts w:ascii="Arial" w:hAnsi="Arial"/>
      <w:sz w:val="20"/>
    </w:rPr>
  </w:style>
  <w:style w:type="table" w:styleId="Tabellenraster">
    <w:name w:val="Table Grid"/>
    <w:basedOn w:val="NormaleTabelle"/>
    <w:uiPriority w:val="59"/>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39"/>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next w:val="Tabellenraster"/>
    <w:uiPriority w:val="59"/>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unhideWhenUsed/>
    <w:qFormat/>
    <w:pPr>
      <w:numPr>
        <w:numId w:val="0"/>
      </w:numPr>
      <w:spacing w:before="240" w:after="0"/>
      <w:outlineLvl w:val="9"/>
    </w:pPr>
    <w:rPr>
      <w:rFonts w:asciiTheme="majorHAnsi" w:hAnsiTheme="majorHAnsi"/>
      <w:b w:val="0"/>
      <w:color w:val="2E74B5" w:themeColor="accent1" w:themeShade="BF"/>
      <w:sz w:val="32"/>
      <w:lang w:val="de-CH" w:eastAsia="de-CH"/>
    </w:rPr>
  </w:style>
  <w:style w:type="character" w:customStyle="1" w:styleId="CaptionChar">
    <w:name w:val="Caption Char"/>
    <w:uiPriority w:val="99"/>
  </w:style>
  <w:style w:type="paragraph" w:customStyle="1" w:styleId="Textnormal">
    <w:name w:val="Text normal"/>
    <w:basedOn w:val="Standard"/>
    <w:qFormat/>
    <w:pPr>
      <w:spacing w:line="276" w:lineRule="auto"/>
      <w:ind w:left="851"/>
    </w:pPr>
    <w:rPr>
      <w:rFonts w:eastAsia="Calibri" w:cs="Arial"/>
      <w:szCs w:val="20"/>
    </w:rPr>
  </w:style>
  <w:style w:type="table" w:customStyle="1" w:styleId="GridTable4-Accent21">
    <w:name w:val="Grid Table 4 - Accent 2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D99695" w:fill="D99695"/>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paragraph" w:styleId="Abbildungsverzeichnis">
    <w:name w:val="table of figures"/>
    <w:basedOn w:val="Standard"/>
    <w:next w:val="Standard"/>
    <w:uiPriority w:val="99"/>
    <w:unhideWhenUsed/>
    <w:pPr>
      <w:spacing w:before="60" w:after="0" w:line="276" w:lineRule="auto"/>
    </w:pPr>
    <w:rPr>
      <w:rFonts w:eastAsia="Calibri" w:cs="Arial"/>
      <w:szCs w:val="20"/>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EndnoteTextChar">
    <w:name w:val="Endnote Text Char"/>
    <w:uiPriority w:val="99"/>
    <w:rPr>
      <w:sz w:val="20"/>
    </w:rPr>
  </w:style>
  <w:style w:type="character" w:customStyle="1" w:styleId="TitelZchn">
    <w:name w:val="Titel Zchn"/>
    <w:basedOn w:val="Absatz-Standardschriftart"/>
    <w:link w:val="Titel"/>
    <w:uiPriority w:val="10"/>
    <w:rPr>
      <w:sz w:val="48"/>
      <w:szCs w:val="48"/>
    </w:rPr>
  </w:style>
  <w:style w:type="character" w:customStyle="1" w:styleId="UntertitelZchn1">
    <w:name w:val="Untertitel Zchn1"/>
    <w:basedOn w:val="Absatz-Standardschriftart"/>
    <w:link w:val="Untertitel"/>
    <w:uiPriority w:val="11"/>
    <w:rPr>
      <w:sz w:val="24"/>
      <w:szCs w:val="24"/>
    </w:rPr>
  </w:style>
  <w:style w:type="character" w:customStyle="1" w:styleId="ZitatZchn">
    <w:name w:val="Zitat Zchn"/>
    <w:link w:val="Zitat"/>
    <w:uiPriority w:val="29"/>
    <w:rPr>
      <w:i/>
    </w:rPr>
  </w:style>
  <w:style w:type="character" w:customStyle="1" w:styleId="IntensivesZitatZchn">
    <w:name w:val="Intensives Zitat Zchn"/>
    <w:link w:val="IntensivesZitat"/>
    <w:uiPriority w:val="30"/>
    <w:rPr>
      <w:i/>
      <w:shd w:val="clear" w:color="D9D9D9" w:fill="D9D9D9"/>
    </w:rPr>
  </w:style>
  <w:style w:type="character" w:customStyle="1" w:styleId="KopfzeileZchn1">
    <w:name w:val="Kopfzeile Zchn1"/>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before="60" w:after="0" w:line="276" w:lineRule="auto"/>
    </w:pPr>
    <w:rPr>
      <w:rFonts w:eastAsia="Calibri" w:cs="Arial"/>
      <w:b/>
      <w:bCs/>
      <w:color w:val="5B9BD5" w:themeColor="accent1"/>
      <w:sz w:val="18"/>
      <w:szCs w:val="18"/>
    </w:rPr>
  </w:style>
  <w:style w:type="character" w:customStyle="1" w:styleId="FuzeileZchn1">
    <w:name w:val="Fußzeile Zchn1"/>
    <w:uiPriority w:val="99"/>
  </w:style>
  <w:style w:type="table" w:customStyle="1" w:styleId="TableGridLight1">
    <w:name w:val="Table Grid Light1"/>
    <w:basedOn w:val="NormaleTabelle"/>
    <w:uiPriority w:val="59"/>
    <w:pPr>
      <w:spacing w:before="60" w:after="0" w:line="240" w:lineRule="auto"/>
      <w:ind w:left="709"/>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before="60" w:after="0" w:line="240" w:lineRule="auto"/>
      <w:ind w:left="709"/>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EinfacheTabelle2">
    <w:name w:val="Plain Table 2"/>
    <w:basedOn w:val="NormaleTabelle"/>
    <w:uiPriority w:val="59"/>
    <w:pPr>
      <w:spacing w:before="60" w:after="0" w:line="240" w:lineRule="auto"/>
      <w:ind w:left="709"/>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EinfacheTabelle4">
    <w:name w:val="Plain Table 4"/>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EinfacheTabelle5">
    <w:name w:val="Plain Table 5"/>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itternetztabelle1hell">
    <w:name w:val="Grid Table 1 Light"/>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itternetztabelle3">
    <w:name w:val="Grid Table 3"/>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itternetztabelle4">
    <w:name w:val="Grid Table 4"/>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5D8AC2" w:fill="5D8AC2"/>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31">
    <w:name w:val="Grid Table 4 - Accent 3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9ABB59" w:fill="9ABB59"/>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B2A1C6" w:fill="B2A1C6"/>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BACC6" w:fill="4BACC6"/>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79646" w:fill="F7964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itternetztabelle5dunkel">
    <w:name w:val="Grid Table 5 Dark"/>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hemeColor="light1"/>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hemeColor="light1"/>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hemeColor="light1"/>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hemeColor="light1"/>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hemeColor="light1"/>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hemeColor="light1"/>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itternetztabelle6farbig">
    <w:name w:val="Grid Table 6 Colorful"/>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AE5F1" w:fill="DAE5F1"/>
      </w:tcPr>
    </w:tblStylePr>
    <w:tblStylePr w:type="band1Horz">
      <w:rPr>
        <w:rFonts w:ascii="Arial" w:hAnsi="Arial"/>
        <w:color w:val="ACCCEA" w:themeColor="accent1" w:themeTint="80" w:themeShade="95"/>
        <w:sz w:val="22"/>
      </w:rPr>
      <w:tblPr/>
      <w:tcPr>
        <w:shd w:val="clear" w:color="DAE5F1" w:fill="DAE5F1"/>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2DCDC" w:fill="F2DCDC"/>
      </w:tcPr>
    </w:tblStylePr>
    <w:tblStylePr w:type="band1Horz">
      <w:rPr>
        <w:rFonts w:ascii="Arial" w:hAnsi="Arial"/>
        <w:color w:val="F4B184" w:themeColor="accent2" w:themeTint="97" w:themeShade="95"/>
        <w:sz w:val="22"/>
      </w:rPr>
      <w:tblPr/>
      <w:tcPr>
        <w:shd w:val="clear" w:color="F2DCDC" w:fill="F2DCDC"/>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AF1DC" w:fill="EAF1DC"/>
      </w:tcPr>
    </w:tblStylePr>
    <w:tblStylePr w:type="band1Horz">
      <w:rPr>
        <w:rFonts w:ascii="Arial" w:hAnsi="Arial"/>
        <w:color w:val="A5A5A5" w:themeColor="accent3" w:themeTint="FE" w:themeShade="95"/>
        <w:sz w:val="22"/>
      </w:rPr>
      <w:tblPr/>
      <w:tcPr>
        <w:shd w:val="clear" w:color="EAF1DC" w:fill="EAF1DC"/>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E5DFEC" w:fill="E5DFEC"/>
      </w:tcPr>
    </w:tblStylePr>
    <w:tblStylePr w:type="band1Horz">
      <w:rPr>
        <w:rFonts w:ascii="Arial" w:hAnsi="Arial"/>
        <w:color w:val="FFD865" w:themeColor="accent4" w:themeTint="9A" w:themeShade="95"/>
        <w:sz w:val="22"/>
      </w:rPr>
      <w:tblPr/>
      <w:tcPr>
        <w:shd w:val="clear" w:color="E5DFEC" w:fill="E5DFEC"/>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AEEF3" w:fill="DAEEF3"/>
      </w:tcPr>
    </w:tblStylePr>
    <w:tblStylePr w:type="band1Horz">
      <w:rPr>
        <w:rFonts w:ascii="Arial" w:hAnsi="Arial"/>
        <w:color w:val="254175" w:themeColor="accent5" w:themeShade="95"/>
        <w:sz w:val="22"/>
      </w:rPr>
      <w:tblPr/>
      <w:tcPr>
        <w:shd w:val="clear" w:color="DAEEF3" w:fill="DAEEF3"/>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DE9D8" w:fill="FDE9D8"/>
      </w:tcPr>
    </w:tblStylePr>
    <w:tblStylePr w:type="band1Horz">
      <w:rPr>
        <w:rFonts w:ascii="Arial" w:hAnsi="Arial"/>
        <w:color w:val="254175" w:themeColor="accent5" w:themeShade="95"/>
        <w:sz w:val="22"/>
      </w:rPr>
      <w:tblPr/>
      <w:tcPr>
        <w:shd w:val="clear" w:color="FDE9D8" w:fill="FDE9D8"/>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CCCEA" w:themeColor="accent1" w:themeTint="80" w:themeShade="95"/>
        <w:sz w:val="22"/>
      </w:rPr>
      <w:tblPr/>
      <w:tcPr>
        <w:shd w:val="clear" w:color="DAE5F1" w:fill="DAE5F1"/>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F4B184" w:themeColor="accent2" w:themeTint="97" w:themeShade="95"/>
        <w:sz w:val="22"/>
      </w:rPr>
      <w:tblPr/>
      <w:tcPr>
        <w:shd w:val="clear" w:color="F2DCDC" w:fill="F2DCDC"/>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A5A5A5" w:themeColor="accent3" w:themeTint="FE" w:themeShade="95"/>
        <w:sz w:val="22"/>
      </w:rPr>
      <w:tblPr/>
      <w:tcPr>
        <w:shd w:val="clear" w:color="EAF1DC" w:fill="EAF1DC"/>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FFD865" w:themeColor="accent4" w:themeTint="9A" w:themeShade="95"/>
        <w:sz w:val="22"/>
      </w:rPr>
      <w:tblPr/>
      <w:tcPr>
        <w:shd w:val="clear" w:color="E5DFEC" w:fill="E5DFEC"/>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54175" w:themeColor="accent5" w:themeShade="95"/>
        <w:sz w:val="22"/>
      </w:rPr>
      <w:tblPr/>
      <w:tcPr>
        <w:shd w:val="clear" w:color="DAEEF3" w:fill="DAEEF3"/>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416429" w:themeColor="accent6" w:themeShade="95"/>
        <w:sz w:val="22"/>
      </w:rPr>
      <w:tblPr/>
      <w:tcPr>
        <w:shd w:val="clear" w:color="FDE9D8" w:fill="FDE9D8"/>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entabelle2">
    <w:name w:val="List Table 2"/>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entabelle3">
    <w:name w:val="List Table 3"/>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entabelle5dunkel">
    <w:name w:val="List Table 5 Dark"/>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1">
    <w:name w:val="List Table 5 Dark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4F81BD" w:fill="4F81BD"/>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4F81BD"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4F81BD"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cPr>
    </w:tblStylePr>
    <w:tblStylePr w:type="band2Horz">
      <w:tblPr/>
      <w:tcPr>
        <w:tcBorders>
          <w:top w:val="single" w:sz="4" w:space="0" w:color="FFFFFF" w:themeColor="light1"/>
          <w:bottom w:val="single" w:sz="4" w:space="0" w:color="FFFFFF" w:themeColor="light1"/>
        </w:tcBorders>
        <w:shd w:val="clear" w:color="4F81BD" w:fill="4F81BD"/>
      </w:tcPr>
    </w:tblStylePr>
  </w:style>
  <w:style w:type="table" w:customStyle="1" w:styleId="ListTable5Dark-Accent21">
    <w:name w:val="List Table 5 Dark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D99695" w:fill="D99695"/>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D99695"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cPr>
    </w:tblStylePr>
    <w:tblStylePr w:type="band2Horz">
      <w:tblPr/>
      <w:tcPr>
        <w:tcBorders>
          <w:top w:val="single" w:sz="4" w:space="0" w:color="FFFFFF" w:themeColor="light1"/>
          <w:bottom w:val="single" w:sz="4" w:space="0" w:color="FFFFFF" w:themeColor="light1"/>
        </w:tcBorders>
        <w:shd w:val="clear" w:color="D99695" w:fill="D99695"/>
      </w:tcPr>
    </w:tblStylePr>
  </w:style>
  <w:style w:type="table" w:customStyle="1" w:styleId="ListTable5Dark-Accent31">
    <w:name w:val="List Table 5 Dark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3D69B" w:fill="C3D69B"/>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3D69B"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cPr>
    </w:tblStylePr>
    <w:tblStylePr w:type="band2Horz">
      <w:tblPr/>
      <w:tcPr>
        <w:tcBorders>
          <w:top w:val="single" w:sz="4" w:space="0" w:color="FFFFFF" w:themeColor="light1"/>
          <w:bottom w:val="single" w:sz="4" w:space="0" w:color="FFFFFF" w:themeColor="light1"/>
        </w:tcBorders>
        <w:shd w:val="clear" w:color="C3D69B" w:fill="C3D69B"/>
      </w:tcPr>
    </w:tblStylePr>
  </w:style>
  <w:style w:type="table" w:customStyle="1" w:styleId="ListTable5Dark-Accent41">
    <w:name w:val="List Table 5 Dark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B2A1C6" w:fill="B2A1C6"/>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B2A1C6"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cPr>
    </w:tblStylePr>
    <w:tblStylePr w:type="band2Horz">
      <w:tblPr/>
      <w:tcPr>
        <w:tcBorders>
          <w:top w:val="single" w:sz="4" w:space="0" w:color="FFFFFF" w:themeColor="light1"/>
          <w:bottom w:val="single" w:sz="4" w:space="0" w:color="FFFFFF" w:themeColor="light1"/>
        </w:tcBorders>
        <w:shd w:val="clear" w:color="B2A1C6" w:fill="B2A1C6"/>
      </w:tcPr>
    </w:tblStylePr>
  </w:style>
  <w:style w:type="table" w:customStyle="1" w:styleId="ListTable5Dark-Accent51">
    <w:name w:val="List Table 5 Dark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92CCDC" w:fill="92CCDC"/>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92CCDC"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cPr>
    </w:tblStylePr>
    <w:tblStylePr w:type="band2Horz">
      <w:tblPr/>
      <w:tcPr>
        <w:tcBorders>
          <w:top w:val="single" w:sz="4" w:space="0" w:color="FFFFFF" w:themeColor="light1"/>
          <w:bottom w:val="single" w:sz="4" w:space="0" w:color="FFFFFF" w:themeColor="light1"/>
        </w:tcBorders>
        <w:shd w:val="clear" w:color="92CCDC" w:fill="92CCDC"/>
      </w:tcPr>
    </w:tblStylePr>
  </w:style>
  <w:style w:type="table" w:customStyle="1" w:styleId="ListTable5Dark-Accent61">
    <w:name w:val="List Table 5 Dark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AC090" w:fill="FAC090"/>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AC090"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cPr>
    </w:tblStylePr>
    <w:tblStylePr w:type="band2Horz">
      <w:tblPr/>
      <w:tcPr>
        <w:tcBorders>
          <w:top w:val="single" w:sz="4" w:space="0" w:color="FFFFFF" w:themeColor="light1"/>
          <w:bottom w:val="single" w:sz="4" w:space="0" w:color="FFFFFF" w:themeColor="light1"/>
        </w:tcBorders>
        <w:shd w:val="clear" w:color="FAC090" w:fill="FAC090"/>
      </w:tcPr>
    </w:tblStylePr>
  </w:style>
  <w:style w:type="table" w:styleId="Listentabelle6farbig">
    <w:name w:val="List Table 6 Colorful"/>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2DFEE" w:fill="D2DFEE"/>
      </w:tcPr>
    </w:tblStylePr>
    <w:tblStylePr w:type="band1Horz">
      <w:rPr>
        <w:rFonts w:ascii="Arial" w:hAnsi="Arial"/>
        <w:color w:val="245A8D" w:themeColor="accent1" w:themeShade="95"/>
        <w:sz w:val="22"/>
      </w:rPr>
      <w:tblPr/>
      <w:tcPr>
        <w:shd w:val="clear" w:color="D2DFEE" w:fill="D2DFEE"/>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EFD2D2" w:fill="EFD2D2"/>
      </w:tcPr>
    </w:tblStylePr>
    <w:tblStylePr w:type="band1Horz">
      <w:rPr>
        <w:rFonts w:ascii="Arial" w:hAnsi="Arial"/>
        <w:color w:val="F4B184" w:themeColor="accent2" w:themeTint="97" w:themeShade="95"/>
        <w:sz w:val="22"/>
      </w:rPr>
      <w:tblPr/>
      <w:tcPr>
        <w:shd w:val="clear" w:color="EFD2D2" w:fill="EFD2D2"/>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5EED5" w:fill="E5EED5"/>
      </w:tcPr>
    </w:tblStylePr>
    <w:tblStylePr w:type="band1Horz">
      <w:rPr>
        <w:rFonts w:ascii="Arial" w:hAnsi="Arial"/>
        <w:color w:val="C9C9C9" w:themeColor="accent3" w:themeTint="98" w:themeShade="95"/>
        <w:sz w:val="22"/>
      </w:rPr>
      <w:tblPr/>
      <w:tcPr>
        <w:shd w:val="clear" w:color="E5EED5" w:fill="E5EED5"/>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DFD8E7" w:fill="DFD8E7"/>
      </w:tcPr>
    </w:tblStylePr>
    <w:tblStylePr w:type="band1Horz">
      <w:rPr>
        <w:rFonts w:ascii="Arial" w:hAnsi="Arial"/>
        <w:color w:val="FFD865" w:themeColor="accent4" w:themeTint="9A" w:themeShade="95"/>
        <w:sz w:val="22"/>
      </w:rPr>
      <w:tblPr/>
      <w:tcPr>
        <w:shd w:val="clear" w:color="DFD8E7" w:fill="DFD8E7"/>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D1EAF0" w:fill="D1EAF0"/>
      </w:tcPr>
    </w:tblStylePr>
    <w:tblStylePr w:type="band1Horz">
      <w:rPr>
        <w:rFonts w:ascii="Arial" w:hAnsi="Arial"/>
        <w:color w:val="8DA9DB" w:themeColor="accent5" w:themeTint="9A" w:themeShade="95"/>
        <w:sz w:val="22"/>
      </w:rPr>
      <w:tblPr/>
      <w:tcPr>
        <w:shd w:val="clear" w:color="D1EAF0" w:fill="D1EAF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DE4D0" w:fill="FDE4D0"/>
      </w:tcPr>
    </w:tblStylePr>
    <w:tblStylePr w:type="band1Horz">
      <w:rPr>
        <w:rFonts w:ascii="Arial" w:hAnsi="Arial"/>
        <w:color w:val="A9D08E" w:themeColor="accent6" w:themeTint="98" w:themeShade="95"/>
        <w:sz w:val="22"/>
      </w:rPr>
      <w:tblPr/>
      <w:tcPr>
        <w:shd w:val="clear" w:color="FDE4D0" w:fill="FDE4D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45A8D" w:themeColor="accent1" w:themeShade="95"/>
        <w:sz w:val="22"/>
      </w:rPr>
      <w:tblPr/>
      <w:tcPr>
        <w:shd w:val="clear" w:color="D2DFEE" w:fill="D2DFEE"/>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F4B184" w:themeColor="accent2" w:themeTint="97" w:themeShade="95"/>
        <w:sz w:val="22"/>
      </w:rPr>
      <w:tblPr/>
      <w:tcPr>
        <w:shd w:val="clear" w:color="EFD2D2" w:fill="EFD2D2"/>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9C9C9" w:themeColor="accent3" w:themeTint="98" w:themeShade="95"/>
        <w:sz w:val="22"/>
      </w:rPr>
      <w:tblPr/>
      <w:tcPr>
        <w:shd w:val="clear" w:color="E5EED5" w:fill="E5EED5"/>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FFD865" w:themeColor="accent4" w:themeTint="9A" w:themeShade="95"/>
        <w:sz w:val="22"/>
      </w:rPr>
      <w:tblPr/>
      <w:tcPr>
        <w:shd w:val="clear" w:color="DFD8E7" w:fill="DFD8E7"/>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8DA9DB" w:themeColor="accent5" w:themeTint="9A" w:themeShade="95"/>
        <w:sz w:val="22"/>
      </w:rPr>
      <w:tblPr/>
      <w:tcPr>
        <w:shd w:val="clear" w:color="D1EAF0" w:fill="D1EAF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A9D08E" w:themeColor="accent6" w:themeTint="98" w:themeShade="95"/>
        <w:sz w:val="22"/>
      </w:rPr>
      <w:tblPr/>
      <w:tcPr>
        <w:shd w:val="clear" w:color="FDE4D0" w:fill="FDE4D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
    <w:name w:val="Bordered &amp; Lined - Accent"/>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paragraph" w:styleId="Endnotentext">
    <w:name w:val="endnote text"/>
    <w:basedOn w:val="Standard"/>
    <w:link w:val="EndnotentextZchn"/>
    <w:uiPriority w:val="99"/>
    <w:semiHidden/>
    <w:unhideWhenUsed/>
    <w:pPr>
      <w:spacing w:before="60" w:after="0" w:line="240" w:lineRule="auto"/>
    </w:pPr>
    <w:rPr>
      <w:rFonts w:eastAsia="Calibri" w:cs="Arial"/>
      <w:szCs w:val="20"/>
    </w:rPr>
  </w:style>
  <w:style w:type="character" w:customStyle="1" w:styleId="EndnotentextZchn">
    <w:name w:val="Endnotentext Zchn"/>
    <w:basedOn w:val="Absatz-Standardschriftart"/>
    <w:link w:val="Endnotentext"/>
    <w:uiPriority w:val="99"/>
    <w:semiHidden/>
    <w:rPr>
      <w:rFonts w:ascii="Arial" w:eastAsia="Calibri" w:hAnsi="Arial" w:cs="Arial"/>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Heading1Char">
    <w:name w:val="Heading 1 Char"/>
    <w:basedOn w:val="Absatz-Standardschriftart"/>
    <w:uiPriority w:val="9"/>
    <w:rPr>
      <w:rFonts w:ascii="Arial" w:eastAsia="Arial" w:hAnsi="Arial" w:cs="Arial"/>
      <w:b/>
      <w:bCs/>
      <w:color w:val="000000" w:themeColor="text1"/>
      <w:sz w:val="48"/>
      <w:szCs w:val="48"/>
    </w:rPr>
  </w:style>
  <w:style w:type="character" w:customStyle="1" w:styleId="Heading2Char">
    <w:name w:val="Heading 2 Char"/>
    <w:basedOn w:val="Absatz-Standardschriftart"/>
    <w:uiPriority w:val="9"/>
    <w:rPr>
      <w:rFonts w:ascii="Arial" w:eastAsia="Arial" w:hAnsi="Arial" w:cs="Arial"/>
      <w:b/>
      <w:bCs/>
      <w:color w:val="000000" w:themeColor="text1"/>
      <w:sz w:val="40"/>
      <w:szCs w:val="40"/>
    </w:rPr>
  </w:style>
  <w:style w:type="character" w:customStyle="1" w:styleId="Heading3Char">
    <w:name w:val="Heading 3 Char"/>
    <w:basedOn w:val="Absatz-Standardschriftart"/>
    <w:uiPriority w:val="9"/>
    <w:rPr>
      <w:rFonts w:ascii="Arial" w:eastAsia="Arial" w:hAnsi="Arial" w:cs="Arial"/>
      <w:b/>
      <w:bCs/>
      <w:i/>
      <w:iCs/>
      <w:color w:val="000000" w:themeColor="text1"/>
      <w:sz w:val="40"/>
      <w:szCs w:val="40"/>
    </w:rPr>
  </w:style>
  <w:style w:type="character" w:customStyle="1" w:styleId="Heading4Char">
    <w:name w:val="Heading 4 Char"/>
    <w:basedOn w:val="Absatz-Standardschriftart"/>
    <w:uiPriority w:val="9"/>
    <w:rPr>
      <w:rFonts w:ascii="Arial" w:eastAsia="Arial" w:hAnsi="Arial" w:cs="Arial"/>
      <w:color w:val="232323"/>
      <w:sz w:val="32"/>
      <w:szCs w:val="32"/>
    </w:rPr>
  </w:style>
  <w:style w:type="character" w:customStyle="1" w:styleId="Heading5Char">
    <w:name w:val="Heading 5 Char"/>
    <w:basedOn w:val="Absatz-Standardschriftart"/>
    <w:uiPriority w:val="9"/>
    <w:rPr>
      <w:rFonts w:ascii="Arial" w:eastAsia="Arial" w:hAnsi="Arial" w:cs="Arial"/>
      <w:b/>
      <w:bCs/>
      <w:color w:val="444444"/>
      <w:sz w:val="28"/>
      <w:szCs w:val="28"/>
    </w:rPr>
  </w:style>
  <w:style w:type="character" w:customStyle="1" w:styleId="Heading6Char">
    <w:name w:val="Heading 6 Char"/>
    <w:basedOn w:val="Absatz-Standardschriftart"/>
    <w:uiPriority w:val="9"/>
    <w:rPr>
      <w:rFonts w:ascii="Arial" w:eastAsia="Arial" w:hAnsi="Arial" w:cs="Arial"/>
      <w:i/>
      <w:iCs/>
      <w:color w:val="232323"/>
      <w:sz w:val="28"/>
      <w:szCs w:val="28"/>
    </w:rPr>
  </w:style>
  <w:style w:type="character" w:customStyle="1" w:styleId="Heading7Char">
    <w:name w:val="Heading 7 Char"/>
    <w:basedOn w:val="Absatz-Standardschriftart"/>
    <w:uiPriority w:val="9"/>
    <w:rPr>
      <w:rFonts w:ascii="Arial" w:eastAsia="Arial" w:hAnsi="Arial" w:cs="Arial"/>
      <w:b/>
      <w:bCs/>
      <w:color w:val="606060"/>
      <w:sz w:val="28"/>
      <w:szCs w:val="28"/>
    </w:rPr>
  </w:style>
  <w:style w:type="character" w:customStyle="1" w:styleId="Heading8Char">
    <w:name w:val="Heading 8 Char"/>
    <w:basedOn w:val="Absatz-Standardschriftart"/>
    <w:uiPriority w:val="9"/>
    <w:rPr>
      <w:rFonts w:ascii="Arial" w:eastAsia="Arial" w:hAnsi="Arial" w:cs="Arial"/>
      <w:color w:val="444444"/>
      <w:sz w:val="24"/>
      <w:szCs w:val="24"/>
    </w:rPr>
  </w:style>
  <w:style w:type="character" w:customStyle="1" w:styleId="Heading9Char">
    <w:name w:val="Heading 9 Char"/>
    <w:basedOn w:val="Absatz-Standardschriftart"/>
    <w:uiPriority w:val="9"/>
    <w:rPr>
      <w:rFonts w:ascii="Arial" w:eastAsia="Arial" w:hAnsi="Arial" w:cs="Arial"/>
      <w:i/>
      <w:iCs/>
      <w:color w:val="444444"/>
      <w:sz w:val="23"/>
      <w:szCs w:val="23"/>
    </w:rPr>
  </w:style>
  <w:style w:type="paragraph" w:styleId="Titel">
    <w:name w:val="Title"/>
    <w:basedOn w:val="Standard"/>
    <w:next w:val="Standard"/>
    <w:link w:val="TitelZchn"/>
    <w:uiPriority w:val="10"/>
    <w:pPr>
      <w:pBdr>
        <w:bottom w:val="single" w:sz="24" w:space="0" w:color="000000"/>
      </w:pBdr>
      <w:spacing w:before="300" w:after="80" w:line="240" w:lineRule="auto"/>
    </w:pPr>
    <w:rPr>
      <w:rFonts w:asciiTheme="minorHAnsi" w:hAnsiTheme="minorHAnsi"/>
      <w:sz w:val="48"/>
      <w:szCs w:val="48"/>
    </w:rPr>
  </w:style>
  <w:style w:type="character" w:customStyle="1" w:styleId="TitelZchn1">
    <w:name w:val="Titel Zchn1"/>
    <w:basedOn w:val="Absatz-Standardschriftart"/>
    <w:uiPriority w:val="10"/>
    <w:rPr>
      <w:rFonts w:asciiTheme="majorHAnsi" w:eastAsiaTheme="majorEastAsia" w:hAnsiTheme="majorHAnsi" w:cstheme="majorBidi"/>
      <w:spacing w:val="-10"/>
      <w:sz w:val="56"/>
      <w:szCs w:val="56"/>
    </w:rPr>
  </w:style>
  <w:style w:type="paragraph" w:styleId="Zitat">
    <w:name w:val="Quote"/>
    <w:basedOn w:val="Standard"/>
    <w:next w:val="Standard"/>
    <w:link w:val="ZitatZchn"/>
    <w:uiPriority w:val="29"/>
    <w:pPr>
      <w:pBdr>
        <w:left w:val="single" w:sz="12" w:space="11" w:color="A6A6A6"/>
        <w:bottom w:val="single" w:sz="12" w:space="3" w:color="A6A6A6"/>
      </w:pBdr>
      <w:spacing w:before="60" w:after="0" w:line="276" w:lineRule="auto"/>
      <w:ind w:left="3402"/>
    </w:pPr>
    <w:rPr>
      <w:rFonts w:asciiTheme="minorHAnsi" w:hAnsiTheme="minorHAnsi"/>
      <w:i/>
      <w:sz w:val="22"/>
    </w:rPr>
  </w:style>
  <w:style w:type="character" w:customStyle="1" w:styleId="ZitatZchn1">
    <w:name w:val="Zitat Zchn1"/>
    <w:basedOn w:val="Absatz-Standardschriftart"/>
    <w:uiPriority w:val="29"/>
    <w:rPr>
      <w:rFonts w:ascii="Arial" w:hAnsi="Arial"/>
      <w:i/>
      <w:iCs/>
      <w:color w:val="404040" w:themeColor="text1" w:themeTint="BF"/>
      <w:sz w:val="20"/>
    </w:rPr>
  </w:style>
  <w:style w:type="paragraph" w:styleId="IntensivesZitat">
    <w:name w:val="Intense Quote"/>
    <w:basedOn w:val="Standard"/>
    <w:next w:val="Standard"/>
    <w:link w:val="IntensivesZitatZchn"/>
    <w:uiPriority w:val="30"/>
    <w:pPr>
      <w:pBdr>
        <w:top w:val="single" w:sz="4" w:space="3" w:color="808080"/>
        <w:left w:val="single" w:sz="4" w:space="11" w:color="808080"/>
        <w:bottom w:val="single" w:sz="4" w:space="3" w:color="808080"/>
        <w:right w:val="single" w:sz="4" w:space="11" w:color="808080"/>
      </w:pBdr>
      <w:shd w:val="clear" w:color="D9D9D9" w:fill="D9D9D9"/>
      <w:spacing w:before="60" w:after="0" w:line="276" w:lineRule="auto"/>
      <w:ind w:left="567" w:right="567"/>
    </w:pPr>
    <w:rPr>
      <w:rFonts w:asciiTheme="minorHAnsi" w:hAnsiTheme="minorHAnsi"/>
      <w:i/>
      <w:sz w:val="22"/>
    </w:rPr>
  </w:style>
  <w:style w:type="character" w:customStyle="1" w:styleId="IntensivesZitatZchn1">
    <w:name w:val="Intensives Zitat Zchn1"/>
    <w:basedOn w:val="Absatz-Standardschriftart"/>
    <w:uiPriority w:val="30"/>
    <w:rPr>
      <w:rFonts w:ascii="Arial" w:hAnsi="Arial"/>
      <w:i/>
      <w:iCs/>
      <w:color w:val="5B9BD5" w:themeColor="accent1"/>
      <w:sz w:val="20"/>
    </w:rPr>
  </w:style>
  <w:style w:type="table" w:customStyle="1" w:styleId="Lined">
    <w:name w:val="Lined"/>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
    <w:name w:val="Lined - Accent 2"/>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
    <w:name w:val="Lined - Accent 3"/>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
    <w:name w:val="Lined - Accent 4"/>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
    <w:name w:val="Bordered"/>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
    <w:name w:val="Bordered &amp; Lined - Accent 2"/>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
    <w:name w:val="Bordered &amp; Lined - Accent 3"/>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
    <w:name w:val="Bordered &amp; Lined - Accent 4"/>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paragraph" w:styleId="Funotentext">
    <w:name w:val="footnote text"/>
    <w:basedOn w:val="Standard"/>
    <w:link w:val="FunotentextZchn"/>
    <w:uiPriority w:val="99"/>
    <w:semiHidden/>
    <w:unhideWhenUsed/>
    <w:pPr>
      <w:spacing w:before="60" w:after="0" w:line="240" w:lineRule="auto"/>
    </w:pPr>
    <w:rPr>
      <w:rFonts w:eastAsia="Calibri" w:cs="Arial"/>
      <w:szCs w:val="20"/>
    </w:rPr>
  </w:style>
  <w:style w:type="character" w:customStyle="1" w:styleId="FunotentextZchn">
    <w:name w:val="Fußnotentext Zchn"/>
    <w:basedOn w:val="Absatz-Standardschriftart"/>
    <w:link w:val="Funotentext"/>
    <w:uiPriority w:val="99"/>
    <w:semiHidden/>
    <w:rPr>
      <w:rFonts w:ascii="Arial" w:eastAsia="Calibri" w:hAnsi="Arial" w:cs="Arial"/>
      <w:sz w:val="20"/>
      <w:szCs w:val="20"/>
    </w:rPr>
  </w:style>
  <w:style w:type="character" w:customStyle="1" w:styleId="FootnoteTextChar">
    <w:name w:val="Footnote Text Char"/>
    <w:basedOn w:val="Absatz-Standardschriftart"/>
    <w:uiPriority w:val="99"/>
    <w:semiHidden/>
    <w:rPr>
      <w:sz w:val="20"/>
    </w:rPr>
  </w:style>
  <w:style w:type="character" w:styleId="Funotenzeichen">
    <w:name w:val="footnote reference"/>
    <w:basedOn w:val="Absatz-Standardschriftart"/>
    <w:uiPriority w:val="99"/>
    <w:semiHidden/>
    <w:unhideWhenUsed/>
    <w:rPr>
      <w:vertAlign w:val="superscript"/>
    </w:rPr>
  </w:style>
  <w:style w:type="paragraph" w:customStyle="1" w:styleId="Titel1">
    <w:name w:val="Titel 1."/>
    <w:basedOn w:val="Listenabsatz"/>
    <w:qFormat/>
    <w:pPr>
      <w:numPr>
        <w:numId w:val="9"/>
      </w:numPr>
      <w:spacing w:before="60" w:after="0" w:line="276" w:lineRule="auto"/>
    </w:pPr>
    <w:rPr>
      <w:rFonts w:eastAsia="Calibri" w:cs="Arial"/>
      <w:b/>
      <w:szCs w:val="20"/>
    </w:rPr>
  </w:style>
  <w:style w:type="paragraph" w:customStyle="1" w:styleId="11Titel">
    <w:name w:val="1.1 Titel"/>
    <w:basedOn w:val="Standard"/>
    <w:pPr>
      <w:numPr>
        <w:ilvl w:val="1"/>
        <w:numId w:val="7"/>
      </w:numPr>
      <w:tabs>
        <w:tab w:val="left" w:pos="709"/>
      </w:tabs>
      <w:spacing w:before="60" w:after="120" w:line="276" w:lineRule="auto"/>
    </w:pPr>
    <w:rPr>
      <w:rFonts w:eastAsia="Calibri" w:cs="Arial"/>
      <w:b/>
      <w:szCs w:val="20"/>
    </w:rPr>
  </w:style>
  <w:style w:type="paragraph" w:styleId="Untertitel">
    <w:name w:val="Subtitle"/>
    <w:basedOn w:val="Standard"/>
    <w:next w:val="Standard"/>
    <w:link w:val="UntertitelZchn1"/>
    <w:uiPriority w:val="11"/>
    <w:pPr>
      <w:numPr>
        <w:ilvl w:val="1"/>
      </w:numPr>
      <w:spacing w:before="60" w:after="0" w:line="276" w:lineRule="auto"/>
      <w:ind w:left="709"/>
    </w:pPr>
    <w:rPr>
      <w:rFonts w:asciiTheme="minorHAnsi" w:hAnsiTheme="minorHAnsi"/>
      <w:sz w:val="24"/>
      <w:szCs w:val="24"/>
    </w:rPr>
  </w:style>
  <w:style w:type="character" w:customStyle="1" w:styleId="UntertitelZchn">
    <w:name w:val="Untertitel Zchn"/>
    <w:basedOn w:val="Absatz-Standardschriftart"/>
    <w:uiPriority w:val="11"/>
    <w:rPr>
      <w:rFonts w:eastAsiaTheme="minorEastAsia"/>
      <w:color w:val="5A5A5A" w:themeColor="text1" w:themeTint="A5"/>
      <w:spacing w:val="15"/>
    </w:rPr>
  </w:style>
  <w:style w:type="paragraph" w:customStyle="1" w:styleId="1Titel">
    <w:name w:val="1. Titel"/>
    <w:basedOn w:val="Titel1"/>
    <w:pPr>
      <w:numPr>
        <w:numId w:val="8"/>
      </w:numPr>
      <w:spacing w:before="120" w:after="120"/>
      <w:ind w:hanging="312"/>
    </w:pPr>
    <w:rPr>
      <w:rFonts w:eastAsiaTheme="minorEastAsia"/>
      <w:b w:val="0"/>
    </w:rPr>
  </w:style>
  <w:style w:type="paragraph" w:customStyle="1" w:styleId="PunktAufzhlung">
    <w:name w:val="Punkt Aufzählung"/>
    <w:basedOn w:val="AufzhlungPunkt"/>
    <w:qFormat/>
    <w:pPr>
      <w:numPr>
        <w:ilvl w:val="2"/>
        <w:numId w:val="10"/>
      </w:numPr>
      <w:tabs>
        <w:tab w:val="left" w:pos="1418"/>
      </w:tabs>
      <w:spacing w:before="120" w:after="120" w:line="276" w:lineRule="auto"/>
    </w:pPr>
    <w:rPr>
      <w:rFonts w:eastAsiaTheme="minorEastAsia"/>
      <w:szCs w:val="20"/>
      <w:lang w:val="de-CH"/>
    </w:rPr>
  </w:style>
  <w:style w:type="paragraph" w:customStyle="1" w:styleId="StrichAufzhlung">
    <w:name w:val="Strich Aufzählung"/>
    <w:basedOn w:val="Standard"/>
    <w:pPr>
      <w:spacing w:line="276" w:lineRule="auto"/>
      <w:ind w:left="1560" w:hanging="235"/>
    </w:pPr>
    <w:rPr>
      <w:rFonts w:eastAsia="Calibri" w:cs="Arial"/>
      <w:szCs w:val="20"/>
    </w:rPr>
  </w:style>
  <w:style w:type="paragraph" w:customStyle="1" w:styleId="1111Titel">
    <w:name w:val="1.1.1.1 Titel"/>
    <w:basedOn w:val="Standard"/>
    <w:pPr>
      <w:spacing w:after="200" w:line="276" w:lineRule="auto"/>
    </w:pPr>
    <w:rPr>
      <w:rFonts w:eastAsia="Calibri" w:cs="Arial"/>
      <w:b/>
      <w:szCs w:val="20"/>
    </w:rPr>
  </w:style>
  <w:style w:type="paragraph" w:customStyle="1" w:styleId="Tabelle">
    <w:name w:val="Tabelle"/>
    <w:basedOn w:val="StrichAufzhlung"/>
    <w:pPr>
      <w:ind w:left="851" w:firstLine="0"/>
    </w:pPr>
  </w:style>
  <w:style w:type="paragraph" w:customStyle="1" w:styleId="Titelohne">
    <w:name w:val="Titel ohne"/>
    <w:basedOn w:val="Standard"/>
    <w:pPr>
      <w:spacing w:after="200" w:line="276" w:lineRule="auto"/>
    </w:pPr>
    <w:rPr>
      <w:rFonts w:eastAsia="Calibri" w:cs="Arial"/>
      <w:b/>
      <w:szCs w:val="20"/>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Calibri" w:hAnsi="Times New Roman" w:cs="Times New Roman"/>
      <w:sz w:val="24"/>
      <w:szCs w:val="24"/>
      <w:lang w:eastAsia="de-CH"/>
    </w:rPr>
  </w:style>
  <w:style w:type="character" w:styleId="BesuchterLink">
    <w:name w:val="FollowedHyperlink"/>
    <w:basedOn w:val="Absatz-Standardschriftart"/>
    <w:uiPriority w:val="99"/>
    <w:semiHidden/>
    <w:unhideWhenUsed/>
    <w:rPr>
      <w:color w:val="800080"/>
      <w:u w:val="single"/>
    </w:rPr>
  </w:style>
  <w:style w:type="paragraph" w:customStyle="1" w:styleId="font5">
    <w:name w:val="font5"/>
    <w:basedOn w:val="Standard"/>
    <w:pPr>
      <w:spacing w:before="100" w:beforeAutospacing="1" w:after="100" w:afterAutospacing="1" w:line="240" w:lineRule="auto"/>
    </w:pPr>
    <w:rPr>
      <w:rFonts w:eastAsia="Times New Roman" w:cs="Times New Roman"/>
      <w:color w:val="000000"/>
      <w:szCs w:val="20"/>
      <w:lang w:eastAsia="de-CH"/>
    </w:rPr>
  </w:style>
  <w:style w:type="paragraph" w:customStyle="1" w:styleId="font6">
    <w:name w:val="font6"/>
    <w:basedOn w:val="Standard"/>
    <w:pPr>
      <w:spacing w:before="100" w:beforeAutospacing="1" w:after="100" w:afterAutospacing="1" w:line="240" w:lineRule="auto"/>
    </w:pPr>
    <w:rPr>
      <w:rFonts w:eastAsia="Times New Roman" w:cs="Arial"/>
      <w:color w:val="000000"/>
      <w:sz w:val="16"/>
      <w:szCs w:val="16"/>
      <w:lang w:eastAsia="de-CH"/>
    </w:rPr>
  </w:style>
  <w:style w:type="paragraph" w:customStyle="1" w:styleId="font7">
    <w:name w:val="font7"/>
    <w:basedOn w:val="Standard"/>
    <w:pPr>
      <w:spacing w:before="100" w:beforeAutospacing="1" w:after="100" w:afterAutospacing="1" w:line="240" w:lineRule="auto"/>
    </w:pPr>
    <w:rPr>
      <w:rFonts w:eastAsia="Times New Roman" w:cs="Arial"/>
      <w:b/>
      <w:bCs/>
      <w:color w:val="000000"/>
      <w:sz w:val="16"/>
      <w:szCs w:val="16"/>
      <w:lang w:eastAsia="de-CH"/>
    </w:rPr>
  </w:style>
  <w:style w:type="paragraph" w:customStyle="1" w:styleId="font8">
    <w:name w:val="font8"/>
    <w:basedOn w:val="Standard"/>
    <w:pPr>
      <w:spacing w:before="100" w:beforeAutospacing="1" w:after="100" w:afterAutospacing="1" w:line="240" w:lineRule="auto"/>
    </w:pPr>
    <w:rPr>
      <w:rFonts w:eastAsia="Times New Roman" w:cs="Arial"/>
      <w:color w:val="000000"/>
      <w:sz w:val="16"/>
      <w:szCs w:val="16"/>
      <w:lang w:eastAsia="de-CH"/>
    </w:rPr>
  </w:style>
  <w:style w:type="paragraph" w:customStyle="1" w:styleId="font9">
    <w:name w:val="font9"/>
    <w:basedOn w:val="Standard"/>
    <w:pPr>
      <w:spacing w:before="100" w:beforeAutospacing="1" w:after="100" w:afterAutospacing="1" w:line="240" w:lineRule="auto"/>
    </w:pPr>
    <w:rPr>
      <w:rFonts w:eastAsia="Times New Roman" w:cs="Arial"/>
      <w:b/>
      <w:bCs/>
      <w:color w:val="000000"/>
      <w:sz w:val="16"/>
      <w:szCs w:val="16"/>
      <w:lang w:eastAsia="de-CH"/>
    </w:rPr>
  </w:style>
  <w:style w:type="paragraph" w:customStyle="1" w:styleId="font10">
    <w:name w:val="font10"/>
    <w:basedOn w:val="Standard"/>
    <w:pPr>
      <w:spacing w:before="100" w:beforeAutospacing="1" w:after="100" w:afterAutospacing="1" w:line="240" w:lineRule="auto"/>
    </w:pPr>
    <w:rPr>
      <w:rFonts w:eastAsia="Times New Roman" w:cs="Arial"/>
      <w:color w:val="000000"/>
      <w:sz w:val="16"/>
      <w:szCs w:val="16"/>
      <w:lang w:eastAsia="de-CH"/>
    </w:rPr>
  </w:style>
  <w:style w:type="paragraph" w:customStyle="1" w:styleId="font11">
    <w:name w:val="font11"/>
    <w:basedOn w:val="Standard"/>
    <w:pPr>
      <w:spacing w:before="100" w:beforeAutospacing="1" w:after="100" w:afterAutospacing="1" w:line="240" w:lineRule="auto"/>
    </w:pPr>
    <w:rPr>
      <w:rFonts w:eastAsia="Times New Roman" w:cs="Arial"/>
      <w:color w:val="000000"/>
      <w:sz w:val="16"/>
      <w:szCs w:val="16"/>
      <w:lang w:eastAsia="de-CH"/>
    </w:rPr>
  </w:style>
  <w:style w:type="paragraph" w:customStyle="1" w:styleId="xl78">
    <w:name w:val="xl78"/>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79">
    <w:name w:val="xl79"/>
    <w:basedOn w:val="Standard"/>
    <w:pPr>
      <w:spacing w:before="100" w:beforeAutospacing="1" w:after="100" w:afterAutospacing="1" w:line="240" w:lineRule="auto"/>
    </w:pPr>
    <w:rPr>
      <w:rFonts w:ascii="Times New Roman" w:eastAsia="Times New Roman" w:hAnsi="Times New Roman" w:cs="Times New Roman"/>
      <w:b/>
      <w:bCs/>
      <w:color w:val="000000"/>
      <w:sz w:val="24"/>
      <w:szCs w:val="24"/>
      <w:lang w:eastAsia="de-CH"/>
    </w:rPr>
  </w:style>
  <w:style w:type="paragraph" w:customStyle="1" w:styleId="xl80">
    <w:name w:val="xl80"/>
    <w:basedOn w:val="Standard"/>
    <w:pP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81">
    <w:name w:val="xl81"/>
    <w:basedOn w:val="Standard"/>
    <w:pPr>
      <w:spacing w:before="100" w:beforeAutospacing="1" w:after="100" w:afterAutospacing="1" w:line="240" w:lineRule="auto"/>
    </w:pPr>
    <w:rPr>
      <w:rFonts w:ascii="Times New Roman" w:eastAsia="Times New Roman" w:hAnsi="Times New Roman" w:cs="Times New Roman"/>
      <w:color w:val="000000"/>
      <w:sz w:val="24"/>
      <w:szCs w:val="24"/>
      <w:lang w:eastAsia="de-CH"/>
    </w:rPr>
  </w:style>
  <w:style w:type="paragraph" w:customStyle="1" w:styleId="xl82">
    <w:name w:val="xl82"/>
    <w:basedOn w:val="Standard"/>
    <w:pPr>
      <w:shd w:val="clear" w:color="FF0000" w:fill="FF0000"/>
      <w:spacing w:before="100" w:beforeAutospacing="1" w:after="100" w:afterAutospacing="1" w:line="240" w:lineRule="auto"/>
    </w:pPr>
    <w:rPr>
      <w:rFonts w:ascii="Times New Roman" w:eastAsia="Times New Roman" w:hAnsi="Times New Roman" w:cs="Times New Roman"/>
      <w:b/>
      <w:bCs/>
      <w:color w:val="000000"/>
      <w:sz w:val="24"/>
      <w:szCs w:val="24"/>
      <w:lang w:eastAsia="de-CH"/>
    </w:rPr>
  </w:style>
  <w:style w:type="paragraph" w:customStyle="1" w:styleId="xl83">
    <w:name w:val="xl83"/>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84">
    <w:name w:val="xl84"/>
    <w:basedOn w:val="Standard"/>
    <w:pPr>
      <w:shd w:val="clear" w:color="FF0000" w:fill="FF0000"/>
      <w:spacing w:before="100" w:beforeAutospacing="1" w:after="100" w:afterAutospacing="1" w:line="240" w:lineRule="auto"/>
    </w:pPr>
    <w:rPr>
      <w:rFonts w:ascii="Times New Roman" w:eastAsia="Times New Roman" w:hAnsi="Times New Roman" w:cs="Times New Roman"/>
      <w:color w:val="000000"/>
      <w:sz w:val="24"/>
      <w:szCs w:val="24"/>
      <w:lang w:eastAsia="de-CH"/>
    </w:rPr>
  </w:style>
  <w:style w:type="paragraph" w:customStyle="1" w:styleId="xl85">
    <w:name w:val="xl85"/>
    <w:basedOn w:val="Standard"/>
    <w:pPr>
      <w:spacing w:before="100" w:beforeAutospacing="1" w:after="100" w:afterAutospacing="1" w:line="240" w:lineRule="auto"/>
    </w:pPr>
    <w:rPr>
      <w:rFonts w:ascii="Times New Roman" w:eastAsia="Times New Roman" w:hAnsi="Times New Roman" w:cs="Times New Roman"/>
      <w:b/>
      <w:bCs/>
      <w:sz w:val="24"/>
      <w:szCs w:val="24"/>
      <w:lang w:eastAsia="de-CH"/>
    </w:rPr>
  </w:style>
  <w:style w:type="paragraph" w:customStyle="1" w:styleId="xl86">
    <w:name w:val="xl86"/>
    <w:basedOn w:val="Standard"/>
    <w:pPr>
      <w:shd w:val="clear" w:color="FF0000" w:fill="FF0000"/>
      <w:spacing w:before="100" w:beforeAutospacing="1" w:after="100" w:afterAutospacing="1" w:line="240" w:lineRule="auto"/>
    </w:pPr>
    <w:rPr>
      <w:rFonts w:ascii="Times New Roman" w:eastAsia="Times New Roman" w:hAnsi="Times New Roman" w:cs="Times New Roman"/>
      <w:b/>
      <w:bCs/>
      <w:sz w:val="24"/>
      <w:szCs w:val="24"/>
      <w:lang w:eastAsia="de-CH"/>
    </w:rPr>
  </w:style>
  <w:style w:type="paragraph" w:customStyle="1" w:styleId="xl87">
    <w:name w:val="xl87"/>
    <w:basedOn w:val="Standar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88">
    <w:name w:val="xl88"/>
    <w:basedOn w:val="Standar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89">
    <w:name w:val="xl89"/>
    <w:basedOn w:val="Standard"/>
    <w:pPr>
      <w:spacing w:before="100" w:beforeAutospacing="1" w:after="100" w:afterAutospacing="1" w:line="240" w:lineRule="auto"/>
    </w:pPr>
    <w:rPr>
      <w:rFonts w:eastAsia="Times New Roman" w:cs="Arial"/>
      <w:sz w:val="16"/>
      <w:szCs w:val="16"/>
      <w:lang w:eastAsia="de-CH"/>
    </w:rPr>
  </w:style>
  <w:style w:type="paragraph" w:customStyle="1" w:styleId="xl90">
    <w:name w:val="xl90"/>
    <w:basedOn w:val="Standard"/>
    <w:pPr>
      <w:spacing w:before="100" w:beforeAutospacing="1" w:after="100" w:afterAutospacing="1" w:line="240" w:lineRule="auto"/>
    </w:pPr>
    <w:rPr>
      <w:rFonts w:eastAsia="Times New Roman" w:cs="Arial"/>
      <w:sz w:val="16"/>
      <w:szCs w:val="16"/>
      <w:lang w:eastAsia="de-CH"/>
    </w:rPr>
  </w:style>
  <w:style w:type="paragraph" w:customStyle="1" w:styleId="xl91">
    <w:name w:val="xl91"/>
    <w:basedOn w:val="Standard"/>
    <w:pPr>
      <w:shd w:val="clear" w:color="BFBFBF" w:fill="BFBFBF"/>
      <w:spacing w:before="100" w:beforeAutospacing="1" w:after="100" w:afterAutospacing="1" w:line="240" w:lineRule="auto"/>
    </w:pPr>
    <w:rPr>
      <w:rFonts w:eastAsia="Times New Roman" w:cs="Arial"/>
      <w:b/>
      <w:bCs/>
      <w:sz w:val="16"/>
      <w:szCs w:val="16"/>
      <w:lang w:eastAsia="de-CH"/>
    </w:rPr>
  </w:style>
  <w:style w:type="paragraph" w:customStyle="1" w:styleId="xl92">
    <w:name w:val="xl92"/>
    <w:basedOn w:val="Standard"/>
    <w:pPr>
      <w:spacing w:before="100" w:beforeAutospacing="1" w:after="100" w:afterAutospacing="1" w:line="240" w:lineRule="auto"/>
    </w:pPr>
    <w:rPr>
      <w:rFonts w:eastAsia="Times New Roman" w:cs="Arial"/>
      <w:sz w:val="16"/>
      <w:szCs w:val="16"/>
      <w:lang w:eastAsia="de-CH"/>
    </w:rPr>
  </w:style>
  <w:style w:type="paragraph" w:customStyle="1" w:styleId="xl93">
    <w:name w:val="xl93"/>
    <w:basedOn w:val="Standard"/>
    <w:pPr>
      <w:shd w:val="clear" w:color="BFBFBF" w:fill="BFBFBF"/>
      <w:spacing w:before="100" w:beforeAutospacing="1" w:after="100" w:afterAutospacing="1" w:line="240" w:lineRule="auto"/>
    </w:pPr>
    <w:rPr>
      <w:rFonts w:eastAsia="Times New Roman" w:cs="Arial"/>
      <w:sz w:val="16"/>
      <w:szCs w:val="16"/>
      <w:lang w:eastAsia="de-CH"/>
    </w:rPr>
  </w:style>
  <w:style w:type="paragraph" w:customStyle="1" w:styleId="xl94">
    <w:name w:val="xl94"/>
    <w:basedOn w:val="Standard"/>
    <w:pPr>
      <w:spacing w:before="100" w:beforeAutospacing="1" w:after="100" w:afterAutospacing="1" w:line="240" w:lineRule="auto"/>
    </w:pPr>
    <w:rPr>
      <w:rFonts w:eastAsia="Times New Roman" w:cs="Arial"/>
      <w:sz w:val="16"/>
      <w:szCs w:val="16"/>
      <w:lang w:eastAsia="de-CH"/>
    </w:rPr>
  </w:style>
  <w:style w:type="paragraph" w:customStyle="1" w:styleId="xl95">
    <w:name w:val="xl95"/>
    <w:basedOn w:val="Standard"/>
    <w:pPr>
      <w:spacing w:before="100" w:beforeAutospacing="1" w:after="100" w:afterAutospacing="1" w:line="240" w:lineRule="auto"/>
    </w:pPr>
    <w:rPr>
      <w:rFonts w:eastAsia="Times New Roman" w:cs="Arial"/>
      <w:b/>
      <w:bCs/>
      <w:sz w:val="16"/>
      <w:szCs w:val="16"/>
      <w:lang w:eastAsia="de-CH"/>
    </w:rPr>
  </w:style>
  <w:style w:type="paragraph" w:customStyle="1" w:styleId="xl96">
    <w:name w:val="xl96"/>
    <w:basedOn w:val="Standard"/>
    <w:pPr>
      <w:spacing w:before="100" w:beforeAutospacing="1" w:after="100" w:afterAutospacing="1" w:line="240" w:lineRule="auto"/>
      <w:jc w:val="center"/>
    </w:pPr>
    <w:rPr>
      <w:rFonts w:eastAsia="Times New Roman" w:cs="Arial"/>
      <w:sz w:val="16"/>
      <w:szCs w:val="16"/>
      <w:lang w:eastAsia="de-CH"/>
    </w:rPr>
  </w:style>
  <w:style w:type="paragraph" w:customStyle="1" w:styleId="xl97">
    <w:name w:val="xl97"/>
    <w:basedOn w:val="Standard"/>
    <w:pPr>
      <w:spacing w:before="100" w:beforeAutospacing="1" w:after="100" w:afterAutospacing="1" w:line="240" w:lineRule="auto"/>
      <w:jc w:val="right"/>
    </w:pPr>
    <w:rPr>
      <w:rFonts w:eastAsia="Times New Roman" w:cs="Arial"/>
      <w:sz w:val="16"/>
      <w:szCs w:val="16"/>
      <w:lang w:eastAsia="de-CH"/>
    </w:rPr>
  </w:style>
  <w:style w:type="paragraph" w:customStyle="1" w:styleId="xl98">
    <w:name w:val="xl98"/>
    <w:basedOn w:val="Standard"/>
    <w:pPr>
      <w:shd w:val="clear" w:color="BFBFBF" w:fill="BFBFBF"/>
      <w:spacing w:before="100" w:beforeAutospacing="1" w:after="100" w:afterAutospacing="1" w:line="240" w:lineRule="auto"/>
    </w:pPr>
    <w:rPr>
      <w:rFonts w:eastAsia="Times New Roman" w:cs="Arial"/>
      <w:sz w:val="16"/>
      <w:szCs w:val="16"/>
      <w:lang w:eastAsia="de-CH"/>
    </w:rPr>
  </w:style>
  <w:style w:type="paragraph" w:customStyle="1" w:styleId="xl99">
    <w:name w:val="xl99"/>
    <w:basedOn w:val="Standard"/>
    <w:pPr>
      <w:spacing w:before="100" w:beforeAutospacing="1" w:after="100" w:afterAutospacing="1" w:line="240" w:lineRule="auto"/>
    </w:pPr>
    <w:rPr>
      <w:rFonts w:eastAsia="Times New Roman" w:cs="Arial"/>
      <w:b/>
      <w:bCs/>
      <w:color w:val="000000"/>
      <w:sz w:val="16"/>
      <w:szCs w:val="16"/>
      <w:lang w:eastAsia="de-CH"/>
    </w:rPr>
  </w:style>
  <w:style w:type="paragraph" w:customStyle="1" w:styleId="xl100">
    <w:name w:val="xl100"/>
    <w:basedOn w:val="Standard"/>
    <w:pPr>
      <w:spacing w:before="100" w:beforeAutospacing="1" w:after="100" w:afterAutospacing="1" w:line="240" w:lineRule="auto"/>
    </w:pPr>
    <w:rPr>
      <w:rFonts w:eastAsia="Times New Roman" w:cs="Arial"/>
      <w:color w:val="000000"/>
      <w:sz w:val="16"/>
      <w:szCs w:val="16"/>
      <w:lang w:eastAsia="de-CH"/>
    </w:rPr>
  </w:style>
  <w:style w:type="paragraph" w:customStyle="1" w:styleId="xl101">
    <w:name w:val="xl101"/>
    <w:basedOn w:val="Standard"/>
    <w:pPr>
      <w:spacing w:before="100" w:beforeAutospacing="1" w:after="100" w:afterAutospacing="1" w:line="240" w:lineRule="auto"/>
    </w:pPr>
    <w:rPr>
      <w:rFonts w:eastAsia="Times New Roman" w:cs="Arial"/>
      <w:b/>
      <w:bCs/>
      <w:sz w:val="16"/>
      <w:szCs w:val="16"/>
      <w:lang w:eastAsia="de-CH"/>
    </w:rPr>
  </w:style>
  <w:style w:type="paragraph" w:customStyle="1" w:styleId="xl102">
    <w:name w:val="xl102"/>
    <w:basedOn w:val="Standard"/>
    <w:pPr>
      <w:spacing w:before="100" w:beforeAutospacing="1" w:after="100" w:afterAutospacing="1" w:line="240" w:lineRule="auto"/>
    </w:pPr>
    <w:rPr>
      <w:rFonts w:eastAsia="Times New Roman" w:cs="Arial"/>
      <w:sz w:val="16"/>
      <w:szCs w:val="16"/>
      <w:lang w:eastAsia="de-CH"/>
    </w:rPr>
  </w:style>
  <w:style w:type="paragraph" w:customStyle="1" w:styleId="xl103">
    <w:name w:val="xl103"/>
    <w:basedOn w:val="Standard"/>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04">
    <w:name w:val="xl104"/>
    <w:basedOn w:val="Standar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05">
    <w:name w:val="xl105"/>
    <w:basedOn w:val="Standard"/>
    <w:pPr>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06">
    <w:name w:val="xl106"/>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07">
    <w:name w:val="xl107"/>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08">
    <w:name w:val="xl108"/>
    <w:basedOn w:val="Standard"/>
    <w:pPr>
      <w:pBdr>
        <w:bottom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09">
    <w:name w:val="xl109"/>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10">
    <w:name w:val="xl110"/>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11">
    <w:name w:val="xl111"/>
    <w:basedOn w:val="Standard"/>
    <w:pPr>
      <w:pBdr>
        <w:bottom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12">
    <w:name w:val="xl112"/>
    <w:basedOn w:val="Standard"/>
    <w:pPr>
      <w:pBdr>
        <w:bottom w:val="single" w:sz="4" w:space="0" w:color="auto"/>
      </w:pBdr>
      <w:shd w:val="clear" w:color="FF0000" w:fill="FF0000"/>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13">
    <w:name w:val="xl113"/>
    <w:basedOn w:val="Standard"/>
    <w:pPr>
      <w:pBdr>
        <w:bottom w:val="single" w:sz="4" w:space="0" w:color="auto"/>
      </w:pBdr>
      <w:shd w:val="clear" w:color="FF0000" w:fill="FF0000"/>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14">
    <w:name w:val="xl114"/>
    <w:basedOn w:val="Standard"/>
    <w:pPr>
      <w:pBdr>
        <w:top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15">
    <w:name w:val="xl115"/>
    <w:basedOn w:val="Standard"/>
    <w:pPr>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16">
    <w:name w:val="xl116"/>
    <w:basedOn w:val="Standard"/>
    <w:pP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17">
    <w:name w:val="xl117"/>
    <w:basedOn w:val="Standar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18">
    <w:name w:val="xl118"/>
    <w:basedOn w:val="Standar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19">
    <w:name w:val="xl119"/>
    <w:basedOn w:val="Standar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20">
    <w:name w:val="xl120"/>
    <w:basedOn w:val="Standard"/>
    <w:pP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21">
    <w:name w:val="xl121"/>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22">
    <w:name w:val="xl122"/>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23">
    <w:name w:val="xl123"/>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24">
    <w:name w:val="xl124"/>
    <w:basedOn w:val="Standard"/>
    <w:pPr>
      <w:pBdr>
        <w:top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25">
    <w:name w:val="xl125"/>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26">
    <w:name w:val="xl126"/>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27">
    <w:name w:val="xl127"/>
    <w:basedOn w:val="Standard"/>
    <w:pPr>
      <w:pBdr>
        <w:top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28">
    <w:name w:val="xl128"/>
    <w:basedOn w:val="Standard"/>
    <w:pPr>
      <w:pBdr>
        <w:top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29">
    <w:name w:val="xl129"/>
    <w:basedOn w:val="Standard"/>
    <w:pPr>
      <w:pBdr>
        <w:top w:val="single" w:sz="4" w:space="0" w:color="auto"/>
      </w:pBdr>
      <w:shd w:val="clear" w:color="FF0000" w:fill="FF0000"/>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30">
    <w:name w:val="xl130"/>
    <w:basedOn w:val="Standard"/>
    <w:pP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31">
    <w:name w:val="xl131"/>
    <w:basedOn w:val="Standard"/>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32">
    <w:name w:val="xl132"/>
    <w:basedOn w:val="Standard"/>
    <w:pPr>
      <w:shd w:val="clear" w:color="FF0000" w:fill="FF0000"/>
      <w:spacing w:before="100" w:beforeAutospacing="1" w:after="100" w:afterAutospacing="1" w:line="240" w:lineRule="auto"/>
      <w:jc w:val="right"/>
    </w:pPr>
    <w:rPr>
      <w:rFonts w:ascii="Times New Roman" w:eastAsia="Times New Roman" w:hAnsi="Times New Roman" w:cs="Times New Roman"/>
      <w:sz w:val="24"/>
      <w:szCs w:val="24"/>
      <w:lang w:eastAsia="de-CH"/>
    </w:rPr>
  </w:style>
  <w:style w:type="paragraph" w:customStyle="1" w:styleId="xl133">
    <w:name w:val="xl133"/>
    <w:basedOn w:val="Standar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34">
    <w:name w:val="xl134"/>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35">
    <w:name w:val="xl135"/>
    <w:basedOn w:val="Standard"/>
    <w:pP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36">
    <w:name w:val="xl136"/>
    <w:basedOn w:val="Standard"/>
    <w:pP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37">
    <w:name w:val="xl137"/>
    <w:basedOn w:val="Standard"/>
    <w:pPr>
      <w:shd w:val="clear" w:color="FF0000" w:fill="FF0000"/>
      <w:spacing w:before="100" w:beforeAutospacing="1" w:after="100" w:afterAutospacing="1" w:line="240" w:lineRule="auto"/>
    </w:pPr>
    <w:rPr>
      <w:rFonts w:ascii="Times New Roman" w:eastAsia="Times New Roman" w:hAnsi="Times New Roman" w:cs="Times New Roman"/>
      <w:i/>
      <w:iCs/>
      <w:color w:val="000000"/>
      <w:sz w:val="24"/>
      <w:szCs w:val="24"/>
      <w:lang w:eastAsia="de-CH"/>
    </w:rPr>
  </w:style>
  <w:style w:type="paragraph" w:customStyle="1" w:styleId="xl138">
    <w:name w:val="xl138"/>
    <w:basedOn w:val="Standard"/>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39">
    <w:name w:val="xl139"/>
    <w:basedOn w:val="Standard"/>
    <w:pPr>
      <w:shd w:val="clear" w:color="FF0000" w:fill="FF0000"/>
      <w:spacing w:before="100" w:beforeAutospacing="1" w:after="100" w:afterAutospacing="1" w:line="240" w:lineRule="auto"/>
    </w:pPr>
    <w:rPr>
      <w:rFonts w:ascii="Times New Roman" w:eastAsia="Times New Roman" w:hAnsi="Times New Roman" w:cs="Times New Roman"/>
      <w:i/>
      <w:iCs/>
      <w:color w:val="000000"/>
      <w:sz w:val="24"/>
      <w:szCs w:val="24"/>
      <w:lang w:eastAsia="de-CH"/>
    </w:rPr>
  </w:style>
  <w:style w:type="paragraph" w:customStyle="1" w:styleId="xl140">
    <w:name w:val="xl140"/>
    <w:basedOn w:val="Standard"/>
    <w:pP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41">
    <w:name w:val="xl141"/>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42">
    <w:name w:val="xl142"/>
    <w:basedOn w:val="Standard"/>
    <w:pPr>
      <w:pBdr>
        <w:bottom w:val="single" w:sz="4" w:space="0" w:color="auto"/>
      </w:pBd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43">
    <w:name w:val="xl143"/>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sz w:val="24"/>
      <w:szCs w:val="24"/>
      <w:lang w:eastAsia="de-CH"/>
    </w:rPr>
  </w:style>
  <w:style w:type="paragraph" w:customStyle="1" w:styleId="xl144">
    <w:name w:val="xl144"/>
    <w:basedOn w:val="Standar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45">
    <w:name w:val="xl145"/>
    <w:basedOn w:val="Standard"/>
    <w:pPr>
      <w:shd w:val="clear" w:color="FF0000"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de-CH"/>
    </w:rPr>
  </w:style>
  <w:style w:type="paragraph" w:customStyle="1" w:styleId="xl146">
    <w:name w:val="xl146"/>
    <w:basedOn w:val="Standard"/>
    <w:pPr>
      <w:pBdr>
        <w:bottom w:val="single" w:sz="4" w:space="0" w:color="auto"/>
      </w:pBdr>
      <w:shd w:val="clear" w:color="FF0000" w:fill="FF0000"/>
      <w:spacing w:before="100" w:beforeAutospacing="1" w:after="100" w:afterAutospacing="1" w:line="240" w:lineRule="auto"/>
    </w:pPr>
    <w:rPr>
      <w:rFonts w:ascii="Times New Roman" w:eastAsia="Times New Roman" w:hAnsi="Times New Roman" w:cs="Times New Roman"/>
      <w:i/>
      <w:iCs/>
      <w:color w:val="000000"/>
      <w:sz w:val="24"/>
      <w:szCs w:val="24"/>
      <w:lang w:eastAsia="de-CH"/>
    </w:rPr>
  </w:style>
  <w:style w:type="paragraph" w:customStyle="1" w:styleId="xl147">
    <w:name w:val="xl147"/>
    <w:basedOn w:val="Standard"/>
    <w:pPr>
      <w:shd w:val="clear" w:color="FF0000" w:fill="FF0000"/>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xl148">
    <w:name w:val="xl148"/>
    <w:basedOn w:val="Standard"/>
    <w:pPr>
      <w:shd w:val="clear" w:color="FF0000" w:fill="FF0000"/>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49">
    <w:name w:val="xl149"/>
    <w:basedOn w:val="Standard"/>
    <w:pPr>
      <w:spacing w:before="100" w:beforeAutospacing="1" w:after="100" w:afterAutospacing="1" w:line="240" w:lineRule="auto"/>
      <w:jc w:val="center"/>
    </w:pPr>
    <w:rPr>
      <w:rFonts w:ascii="Times New Roman" w:eastAsia="Times New Roman" w:hAnsi="Times New Roman" w:cs="Times New Roman"/>
      <w:sz w:val="24"/>
      <w:szCs w:val="24"/>
      <w:lang w:eastAsia="de-CH"/>
    </w:rPr>
  </w:style>
  <w:style w:type="paragraph" w:customStyle="1" w:styleId="xl150">
    <w:name w:val="xl150"/>
    <w:basedOn w:val="Standard"/>
    <w:pPr>
      <w:spacing w:before="100" w:beforeAutospacing="1" w:after="100" w:afterAutospacing="1" w:line="240" w:lineRule="auto"/>
    </w:pPr>
    <w:rPr>
      <w:rFonts w:eastAsia="Times New Roman" w:cs="Arial"/>
      <w:sz w:val="16"/>
      <w:szCs w:val="16"/>
      <w:lang w:eastAsia="de-CH"/>
    </w:rPr>
  </w:style>
  <w:style w:type="paragraph" w:customStyle="1" w:styleId="xl151">
    <w:name w:val="xl151"/>
    <w:basedOn w:val="Standard"/>
    <w:pPr>
      <w:spacing w:before="100" w:beforeAutospacing="1" w:after="100" w:afterAutospacing="1" w:line="240" w:lineRule="auto"/>
      <w:jc w:val="center"/>
    </w:pPr>
    <w:rPr>
      <w:rFonts w:eastAsia="Times New Roman" w:cs="Arial"/>
      <w:sz w:val="16"/>
      <w:szCs w:val="16"/>
      <w:lang w:eastAsia="de-CH"/>
    </w:rPr>
  </w:style>
  <w:style w:type="paragraph" w:customStyle="1" w:styleId="xl152">
    <w:name w:val="xl152"/>
    <w:basedOn w:val="Standard"/>
    <w:pPr>
      <w:spacing w:before="100" w:beforeAutospacing="1" w:after="100" w:afterAutospacing="1" w:line="240" w:lineRule="auto"/>
    </w:pPr>
    <w:rPr>
      <w:rFonts w:eastAsia="Times New Roman" w:cs="Arial"/>
      <w:sz w:val="16"/>
      <w:szCs w:val="16"/>
      <w:lang w:eastAsia="de-CH"/>
    </w:rPr>
  </w:style>
  <w:style w:type="paragraph" w:customStyle="1" w:styleId="xl153">
    <w:name w:val="xl153"/>
    <w:basedOn w:val="Standard"/>
    <w:pPr>
      <w:shd w:val="clear" w:color="FF0000" w:fill="FF0000"/>
      <w:spacing w:before="100" w:beforeAutospacing="1" w:after="100" w:afterAutospacing="1" w:line="240" w:lineRule="auto"/>
      <w:jc w:val="center"/>
    </w:pPr>
    <w:rPr>
      <w:rFonts w:eastAsia="Times New Roman" w:cs="Arial"/>
      <w:sz w:val="16"/>
      <w:szCs w:val="16"/>
      <w:lang w:eastAsia="de-CH"/>
    </w:rPr>
  </w:style>
  <w:style w:type="paragraph" w:customStyle="1" w:styleId="xl154">
    <w:name w:val="xl154"/>
    <w:basedOn w:val="Standard"/>
    <w:pPr>
      <w:shd w:val="clear" w:color="BFBFBF" w:fill="BFBFBF"/>
      <w:spacing w:before="100" w:beforeAutospacing="1" w:after="100" w:afterAutospacing="1" w:line="240" w:lineRule="auto"/>
    </w:pPr>
    <w:rPr>
      <w:rFonts w:eastAsia="Times New Roman" w:cs="Arial"/>
      <w:b/>
      <w:bCs/>
      <w:color w:val="000000"/>
      <w:sz w:val="16"/>
      <w:szCs w:val="16"/>
      <w:lang w:eastAsia="de-CH"/>
    </w:rPr>
  </w:style>
  <w:style w:type="paragraph" w:customStyle="1" w:styleId="xl155">
    <w:name w:val="xl155"/>
    <w:basedOn w:val="Standard"/>
    <w:pPr>
      <w:shd w:val="clear" w:color="BFBFBF" w:fill="BFBFBF"/>
      <w:spacing w:before="100" w:beforeAutospacing="1" w:after="100" w:afterAutospacing="1" w:line="240" w:lineRule="auto"/>
      <w:jc w:val="center"/>
    </w:pPr>
    <w:rPr>
      <w:rFonts w:eastAsia="Times New Roman" w:cs="Arial"/>
      <w:b/>
      <w:bCs/>
      <w:color w:val="000000"/>
      <w:sz w:val="16"/>
      <w:szCs w:val="16"/>
      <w:lang w:eastAsia="de-CH"/>
    </w:rPr>
  </w:style>
  <w:style w:type="paragraph" w:customStyle="1" w:styleId="xl156">
    <w:name w:val="xl156"/>
    <w:basedOn w:val="Standard"/>
    <w:pPr>
      <w:shd w:val="clear" w:color="BFBFBF" w:fill="BFBFBF"/>
      <w:spacing w:before="100" w:beforeAutospacing="1" w:after="100" w:afterAutospacing="1" w:line="240" w:lineRule="auto"/>
    </w:pPr>
    <w:rPr>
      <w:rFonts w:eastAsia="Times New Roman" w:cs="Arial"/>
      <w:b/>
      <w:bCs/>
      <w:color w:val="000000"/>
      <w:sz w:val="16"/>
      <w:szCs w:val="16"/>
      <w:lang w:eastAsia="de-CH"/>
    </w:rPr>
  </w:style>
  <w:style w:type="paragraph" w:customStyle="1" w:styleId="xl157">
    <w:name w:val="xl157"/>
    <w:basedOn w:val="Standard"/>
    <w:pPr>
      <w:spacing w:before="100" w:beforeAutospacing="1" w:after="100" w:afterAutospacing="1" w:line="240" w:lineRule="auto"/>
    </w:pPr>
    <w:rPr>
      <w:rFonts w:eastAsia="Times New Roman" w:cs="Arial"/>
      <w:b/>
      <w:bCs/>
      <w:sz w:val="16"/>
      <w:szCs w:val="16"/>
      <w:lang w:eastAsia="de-CH"/>
    </w:rPr>
  </w:style>
  <w:style w:type="paragraph" w:customStyle="1" w:styleId="xl158">
    <w:name w:val="xl158"/>
    <w:basedOn w:val="Standard"/>
    <w:pPr>
      <w:pBdr>
        <w:bottom w:val="single" w:sz="8" w:space="0" w:color="auto"/>
      </w:pBdr>
      <w:spacing w:before="100" w:beforeAutospacing="1" w:after="100" w:afterAutospacing="1" w:line="240" w:lineRule="auto"/>
    </w:pPr>
    <w:rPr>
      <w:rFonts w:eastAsia="Times New Roman" w:cs="Arial"/>
      <w:b/>
      <w:bCs/>
      <w:sz w:val="16"/>
      <w:szCs w:val="16"/>
      <w:lang w:eastAsia="de-CH"/>
    </w:rPr>
  </w:style>
  <w:style w:type="paragraph" w:customStyle="1" w:styleId="xl159">
    <w:name w:val="xl159"/>
    <w:basedOn w:val="Standard"/>
    <w:pPr>
      <w:pBdr>
        <w:bottom w:val="single" w:sz="8" w:space="0" w:color="auto"/>
      </w:pBdr>
      <w:spacing w:before="100" w:beforeAutospacing="1" w:after="100" w:afterAutospacing="1" w:line="240" w:lineRule="auto"/>
      <w:jc w:val="center"/>
    </w:pPr>
    <w:rPr>
      <w:rFonts w:eastAsia="Times New Roman" w:cs="Arial"/>
      <w:b/>
      <w:bCs/>
      <w:sz w:val="16"/>
      <w:szCs w:val="16"/>
      <w:lang w:eastAsia="de-CH"/>
    </w:rPr>
  </w:style>
  <w:style w:type="paragraph" w:customStyle="1" w:styleId="xl160">
    <w:name w:val="xl160"/>
    <w:basedOn w:val="Standard"/>
    <w:pPr>
      <w:pBdr>
        <w:bottom w:val="single" w:sz="8" w:space="0" w:color="auto"/>
      </w:pBdr>
      <w:spacing w:before="100" w:beforeAutospacing="1" w:after="100" w:afterAutospacing="1" w:line="240" w:lineRule="auto"/>
    </w:pPr>
    <w:rPr>
      <w:rFonts w:eastAsia="Times New Roman" w:cs="Arial"/>
      <w:b/>
      <w:bCs/>
      <w:sz w:val="16"/>
      <w:szCs w:val="16"/>
      <w:lang w:eastAsia="de-CH"/>
    </w:rPr>
  </w:style>
  <w:style w:type="paragraph" w:customStyle="1" w:styleId="xl161">
    <w:name w:val="xl161"/>
    <w:basedOn w:val="Standard"/>
    <w:pPr>
      <w:spacing w:before="100" w:beforeAutospacing="1" w:after="100" w:afterAutospacing="1" w:line="240" w:lineRule="auto"/>
    </w:pPr>
    <w:rPr>
      <w:rFonts w:eastAsia="Times New Roman" w:cs="Arial"/>
      <w:i/>
      <w:iCs/>
      <w:sz w:val="16"/>
      <w:szCs w:val="16"/>
      <w:lang w:eastAsia="de-CH"/>
    </w:rPr>
  </w:style>
  <w:style w:type="paragraph" w:customStyle="1" w:styleId="xl162">
    <w:name w:val="xl162"/>
    <w:basedOn w:val="Standard"/>
    <w:pPr>
      <w:spacing w:before="100" w:beforeAutospacing="1" w:after="100" w:afterAutospacing="1" w:line="240" w:lineRule="auto"/>
      <w:jc w:val="center"/>
    </w:pPr>
    <w:rPr>
      <w:rFonts w:eastAsia="Times New Roman" w:cs="Arial"/>
      <w:sz w:val="16"/>
      <w:szCs w:val="16"/>
      <w:lang w:eastAsia="de-CH"/>
    </w:rPr>
  </w:style>
  <w:style w:type="paragraph" w:customStyle="1" w:styleId="xl163">
    <w:name w:val="xl163"/>
    <w:basedOn w:val="Standard"/>
    <w:pPr>
      <w:spacing w:before="100" w:beforeAutospacing="1" w:after="100" w:afterAutospacing="1" w:line="240" w:lineRule="auto"/>
    </w:pPr>
    <w:rPr>
      <w:rFonts w:eastAsia="Times New Roman" w:cs="Arial"/>
      <w:i/>
      <w:iCs/>
      <w:sz w:val="16"/>
      <w:szCs w:val="16"/>
      <w:lang w:eastAsia="de-CH"/>
    </w:rPr>
  </w:style>
  <w:style w:type="paragraph" w:customStyle="1" w:styleId="xl164">
    <w:name w:val="xl164"/>
    <w:basedOn w:val="Standard"/>
    <w:pPr>
      <w:spacing w:before="100" w:beforeAutospacing="1" w:after="100" w:afterAutospacing="1" w:line="240" w:lineRule="auto"/>
      <w:jc w:val="right"/>
    </w:pPr>
    <w:rPr>
      <w:rFonts w:eastAsia="Times New Roman" w:cs="Arial"/>
      <w:sz w:val="16"/>
      <w:szCs w:val="16"/>
      <w:lang w:eastAsia="de-CH"/>
    </w:rPr>
  </w:style>
  <w:style w:type="paragraph" w:customStyle="1" w:styleId="xl165">
    <w:name w:val="xl165"/>
    <w:basedOn w:val="Standard"/>
    <w:pPr>
      <w:pBdr>
        <w:bottom w:val="single" w:sz="8" w:space="0" w:color="auto"/>
      </w:pBdr>
      <w:spacing w:before="100" w:beforeAutospacing="1" w:after="100" w:afterAutospacing="1" w:line="240" w:lineRule="auto"/>
      <w:jc w:val="right"/>
    </w:pPr>
    <w:rPr>
      <w:rFonts w:eastAsia="Times New Roman" w:cs="Arial"/>
      <w:b/>
      <w:bCs/>
      <w:sz w:val="16"/>
      <w:szCs w:val="16"/>
      <w:lang w:eastAsia="de-CH"/>
    </w:rPr>
  </w:style>
  <w:style w:type="paragraph" w:customStyle="1" w:styleId="xl166">
    <w:name w:val="xl166"/>
    <w:basedOn w:val="Standard"/>
    <w:pPr>
      <w:spacing w:before="100" w:beforeAutospacing="1" w:after="100" w:afterAutospacing="1" w:line="240" w:lineRule="auto"/>
    </w:pPr>
    <w:rPr>
      <w:rFonts w:eastAsia="Times New Roman" w:cs="Arial"/>
      <w:sz w:val="16"/>
      <w:szCs w:val="16"/>
      <w:lang w:eastAsia="de-CH"/>
    </w:rPr>
  </w:style>
  <w:style w:type="paragraph" w:customStyle="1" w:styleId="xl167">
    <w:name w:val="xl167"/>
    <w:basedOn w:val="Standard"/>
    <w:pPr>
      <w:spacing w:before="100" w:beforeAutospacing="1" w:after="100" w:afterAutospacing="1" w:line="240" w:lineRule="auto"/>
    </w:pPr>
    <w:rPr>
      <w:rFonts w:eastAsia="Times New Roman" w:cs="Arial"/>
      <w:sz w:val="16"/>
      <w:szCs w:val="16"/>
      <w:lang w:eastAsia="de-CH"/>
    </w:rPr>
  </w:style>
  <w:style w:type="paragraph" w:customStyle="1" w:styleId="xl168">
    <w:name w:val="xl168"/>
    <w:basedOn w:val="Standard"/>
    <w:pPr>
      <w:spacing w:before="100" w:beforeAutospacing="1" w:after="100" w:afterAutospacing="1" w:line="240" w:lineRule="auto"/>
      <w:jc w:val="center"/>
    </w:pPr>
    <w:rPr>
      <w:rFonts w:eastAsia="Times New Roman" w:cs="Arial"/>
      <w:sz w:val="16"/>
      <w:szCs w:val="16"/>
      <w:lang w:eastAsia="de-CH"/>
    </w:rPr>
  </w:style>
  <w:style w:type="paragraph" w:customStyle="1" w:styleId="xl169">
    <w:name w:val="xl169"/>
    <w:basedOn w:val="Standard"/>
    <w:pPr>
      <w:pBdr>
        <w:bottom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170">
    <w:name w:val="xl170"/>
    <w:basedOn w:val="Standard"/>
    <w:pPr>
      <w:pBdr>
        <w:bottom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171">
    <w:name w:val="xl171"/>
    <w:basedOn w:val="Standard"/>
    <w:pPr>
      <w:pBdr>
        <w:bottom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172">
    <w:name w:val="xl172"/>
    <w:basedOn w:val="Standard"/>
    <w:pPr>
      <w:pBdr>
        <w:bottom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173">
    <w:name w:val="xl173"/>
    <w:basedOn w:val="Standard"/>
    <w:pPr>
      <w:pBdr>
        <w:bottom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174">
    <w:name w:val="xl174"/>
    <w:basedOn w:val="Standard"/>
    <w:pPr>
      <w:pBdr>
        <w:bottom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175">
    <w:name w:val="xl175"/>
    <w:basedOn w:val="Standard"/>
    <w:pPr>
      <w:pBdr>
        <w:bottom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176">
    <w:name w:val="xl176"/>
    <w:basedOn w:val="Standard"/>
    <w:pPr>
      <w:pBdr>
        <w:bottom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177">
    <w:name w:val="xl177"/>
    <w:basedOn w:val="Standard"/>
    <w:pPr>
      <w:spacing w:before="100" w:beforeAutospacing="1" w:after="100" w:afterAutospacing="1" w:line="240" w:lineRule="auto"/>
      <w:jc w:val="right"/>
    </w:pPr>
    <w:rPr>
      <w:rFonts w:eastAsia="Times New Roman" w:cs="Arial"/>
      <w:sz w:val="16"/>
      <w:szCs w:val="16"/>
      <w:lang w:eastAsia="de-CH"/>
    </w:rPr>
  </w:style>
  <w:style w:type="paragraph" w:customStyle="1" w:styleId="xl178">
    <w:name w:val="xl178"/>
    <w:basedOn w:val="Standard"/>
    <w:pPr>
      <w:pBdr>
        <w:top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179">
    <w:name w:val="xl179"/>
    <w:basedOn w:val="Standard"/>
    <w:pPr>
      <w:pBdr>
        <w:top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180">
    <w:name w:val="xl180"/>
    <w:basedOn w:val="Standard"/>
    <w:pPr>
      <w:pBdr>
        <w:top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181">
    <w:name w:val="xl181"/>
    <w:basedOn w:val="Standard"/>
    <w:pPr>
      <w:pBdr>
        <w:top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182">
    <w:name w:val="xl182"/>
    <w:basedOn w:val="Standard"/>
    <w:pPr>
      <w:pBdr>
        <w:top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183">
    <w:name w:val="xl183"/>
    <w:basedOn w:val="Standard"/>
    <w:pPr>
      <w:pBdr>
        <w:top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184">
    <w:name w:val="xl184"/>
    <w:basedOn w:val="Standard"/>
    <w:pPr>
      <w:pBdr>
        <w:top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185">
    <w:name w:val="xl185"/>
    <w:basedOn w:val="Standard"/>
    <w:pPr>
      <w:pBdr>
        <w:top w:val="single" w:sz="4" w:space="0" w:color="auto"/>
      </w:pBdr>
      <w:spacing w:before="100" w:beforeAutospacing="1" w:after="100" w:afterAutospacing="1" w:line="240" w:lineRule="auto"/>
      <w:jc w:val="right"/>
    </w:pPr>
    <w:rPr>
      <w:rFonts w:eastAsia="Times New Roman" w:cs="Arial"/>
      <w:sz w:val="16"/>
      <w:szCs w:val="16"/>
      <w:lang w:eastAsia="de-CH"/>
    </w:rPr>
  </w:style>
  <w:style w:type="paragraph" w:customStyle="1" w:styleId="xl186">
    <w:name w:val="xl186"/>
    <w:basedOn w:val="Standard"/>
    <w:pPr>
      <w:spacing w:before="100" w:beforeAutospacing="1" w:after="100" w:afterAutospacing="1" w:line="240" w:lineRule="auto"/>
      <w:jc w:val="right"/>
    </w:pPr>
    <w:rPr>
      <w:rFonts w:eastAsia="Times New Roman" w:cs="Arial"/>
      <w:sz w:val="16"/>
      <w:szCs w:val="16"/>
      <w:lang w:eastAsia="de-CH"/>
    </w:rPr>
  </w:style>
  <w:style w:type="paragraph" w:customStyle="1" w:styleId="xl187">
    <w:name w:val="xl187"/>
    <w:basedOn w:val="Standard"/>
    <w:pPr>
      <w:pBdr>
        <w:top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188">
    <w:name w:val="xl188"/>
    <w:basedOn w:val="Standard"/>
    <w:pPr>
      <w:spacing w:before="100" w:beforeAutospacing="1" w:after="100" w:afterAutospacing="1" w:line="240" w:lineRule="auto"/>
    </w:pPr>
    <w:rPr>
      <w:rFonts w:eastAsia="Times New Roman" w:cs="Arial"/>
      <w:i/>
      <w:iCs/>
      <w:sz w:val="16"/>
      <w:szCs w:val="16"/>
      <w:lang w:eastAsia="de-CH"/>
    </w:rPr>
  </w:style>
  <w:style w:type="paragraph" w:customStyle="1" w:styleId="xl189">
    <w:name w:val="xl189"/>
    <w:basedOn w:val="Standard"/>
    <w:pPr>
      <w:pBdr>
        <w:bottom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190">
    <w:name w:val="xl190"/>
    <w:basedOn w:val="Standard"/>
    <w:pPr>
      <w:pBdr>
        <w:top w:val="single" w:sz="4" w:space="0" w:color="auto"/>
      </w:pBdr>
      <w:spacing w:before="100" w:beforeAutospacing="1" w:after="100" w:afterAutospacing="1" w:line="240" w:lineRule="auto"/>
      <w:jc w:val="right"/>
    </w:pPr>
    <w:rPr>
      <w:rFonts w:eastAsia="Times New Roman" w:cs="Arial"/>
      <w:sz w:val="16"/>
      <w:szCs w:val="16"/>
      <w:lang w:eastAsia="de-CH"/>
    </w:rPr>
  </w:style>
  <w:style w:type="paragraph" w:customStyle="1" w:styleId="xl191">
    <w:name w:val="xl191"/>
    <w:basedOn w:val="Standard"/>
    <w:pPr>
      <w:pBdr>
        <w:bottom w:val="single" w:sz="4" w:space="0" w:color="auto"/>
      </w:pBdr>
      <w:spacing w:before="100" w:beforeAutospacing="1" w:after="100" w:afterAutospacing="1" w:line="240" w:lineRule="auto"/>
      <w:jc w:val="right"/>
    </w:pPr>
    <w:rPr>
      <w:rFonts w:eastAsia="Times New Roman" w:cs="Arial"/>
      <w:sz w:val="16"/>
      <w:szCs w:val="16"/>
      <w:lang w:eastAsia="de-CH"/>
    </w:rPr>
  </w:style>
  <w:style w:type="paragraph" w:customStyle="1" w:styleId="xl192">
    <w:name w:val="xl192"/>
    <w:basedOn w:val="Standard"/>
    <w:pPr>
      <w:spacing w:before="100" w:beforeAutospacing="1" w:after="100" w:afterAutospacing="1" w:line="240" w:lineRule="auto"/>
      <w:jc w:val="center"/>
    </w:pPr>
    <w:rPr>
      <w:rFonts w:eastAsia="Times New Roman" w:cs="Arial"/>
      <w:sz w:val="16"/>
      <w:szCs w:val="16"/>
      <w:lang w:eastAsia="de-CH"/>
    </w:rPr>
  </w:style>
  <w:style w:type="paragraph" w:customStyle="1" w:styleId="xl193">
    <w:name w:val="xl193"/>
    <w:basedOn w:val="Standard"/>
    <w:pPr>
      <w:pBdr>
        <w:bottom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194">
    <w:name w:val="xl194"/>
    <w:basedOn w:val="Standard"/>
    <w:pPr>
      <w:pBdr>
        <w:bottom w:val="single" w:sz="4" w:space="0" w:color="auto"/>
      </w:pBdr>
      <w:spacing w:before="100" w:beforeAutospacing="1" w:after="100" w:afterAutospacing="1" w:line="240" w:lineRule="auto"/>
      <w:jc w:val="right"/>
    </w:pPr>
    <w:rPr>
      <w:rFonts w:eastAsia="Times New Roman" w:cs="Arial"/>
      <w:sz w:val="16"/>
      <w:szCs w:val="16"/>
      <w:lang w:eastAsia="de-CH"/>
    </w:rPr>
  </w:style>
  <w:style w:type="paragraph" w:customStyle="1" w:styleId="xl195">
    <w:name w:val="xl195"/>
    <w:basedOn w:val="Standard"/>
    <w:pPr>
      <w:pBdr>
        <w:top w:val="single" w:sz="4" w:space="0" w:color="auto"/>
        <w:bottom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196">
    <w:name w:val="xl196"/>
    <w:basedOn w:val="Standard"/>
    <w:pPr>
      <w:pBdr>
        <w:top w:val="single" w:sz="4" w:space="0" w:color="auto"/>
        <w:bottom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197">
    <w:name w:val="xl197"/>
    <w:basedOn w:val="Standard"/>
    <w:pPr>
      <w:pBdr>
        <w:top w:val="single" w:sz="4" w:space="0" w:color="auto"/>
        <w:bottom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198">
    <w:name w:val="xl198"/>
    <w:basedOn w:val="Standard"/>
    <w:pPr>
      <w:pBdr>
        <w:top w:val="single" w:sz="4" w:space="0" w:color="auto"/>
        <w:bottom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199">
    <w:name w:val="xl199"/>
    <w:basedOn w:val="Standard"/>
    <w:pPr>
      <w:pBdr>
        <w:top w:val="single" w:sz="4" w:space="0" w:color="auto"/>
        <w:bottom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200">
    <w:name w:val="xl200"/>
    <w:basedOn w:val="Standard"/>
    <w:pPr>
      <w:pBdr>
        <w:top w:val="single" w:sz="4" w:space="0" w:color="auto"/>
        <w:bottom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201">
    <w:name w:val="xl201"/>
    <w:basedOn w:val="Standard"/>
    <w:pPr>
      <w:pBdr>
        <w:top w:val="single" w:sz="4" w:space="0" w:color="auto"/>
        <w:bottom w:val="single" w:sz="4" w:space="0" w:color="auto"/>
      </w:pBdr>
      <w:spacing w:before="100" w:beforeAutospacing="1" w:after="100" w:afterAutospacing="1" w:line="240" w:lineRule="auto"/>
    </w:pPr>
    <w:rPr>
      <w:rFonts w:eastAsia="Times New Roman" w:cs="Arial"/>
      <w:i/>
      <w:iCs/>
      <w:color w:val="000000"/>
      <w:sz w:val="16"/>
      <w:szCs w:val="16"/>
      <w:lang w:eastAsia="de-CH"/>
    </w:rPr>
  </w:style>
  <w:style w:type="paragraph" w:customStyle="1" w:styleId="xl202">
    <w:name w:val="xl202"/>
    <w:basedOn w:val="Standard"/>
    <w:pPr>
      <w:pBdr>
        <w:top w:val="single" w:sz="4" w:space="0" w:color="auto"/>
        <w:bottom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203">
    <w:name w:val="xl203"/>
    <w:basedOn w:val="Standard"/>
    <w:pPr>
      <w:pBdr>
        <w:top w:val="single" w:sz="4" w:space="0" w:color="auto"/>
        <w:bottom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204">
    <w:name w:val="xl204"/>
    <w:basedOn w:val="Standard"/>
    <w:pPr>
      <w:pBdr>
        <w:top w:val="single" w:sz="4" w:space="0" w:color="auto"/>
        <w:bottom w:val="single" w:sz="4" w:space="0" w:color="auto"/>
      </w:pBdr>
      <w:spacing w:before="100" w:beforeAutospacing="1" w:after="100" w:afterAutospacing="1" w:line="240" w:lineRule="auto"/>
      <w:jc w:val="right"/>
    </w:pPr>
    <w:rPr>
      <w:rFonts w:eastAsia="Times New Roman" w:cs="Arial"/>
      <w:sz w:val="16"/>
      <w:szCs w:val="16"/>
      <w:lang w:eastAsia="de-CH"/>
    </w:rPr>
  </w:style>
  <w:style w:type="paragraph" w:customStyle="1" w:styleId="xl205">
    <w:name w:val="xl205"/>
    <w:basedOn w:val="Standard"/>
    <w:pPr>
      <w:pBdr>
        <w:top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206">
    <w:name w:val="xl206"/>
    <w:basedOn w:val="Standard"/>
    <w:pPr>
      <w:pBdr>
        <w:top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207">
    <w:name w:val="xl207"/>
    <w:basedOn w:val="Standard"/>
    <w:pPr>
      <w:pBdr>
        <w:top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208">
    <w:name w:val="xl208"/>
    <w:basedOn w:val="Standard"/>
    <w:pPr>
      <w:pBdr>
        <w:top w:val="single" w:sz="4" w:space="0" w:color="auto"/>
      </w:pBdr>
      <w:spacing w:before="100" w:beforeAutospacing="1" w:after="100" w:afterAutospacing="1" w:line="240" w:lineRule="auto"/>
    </w:pPr>
    <w:rPr>
      <w:rFonts w:eastAsia="Times New Roman" w:cs="Arial"/>
      <w:i/>
      <w:iCs/>
      <w:color w:val="000000"/>
      <w:sz w:val="16"/>
      <w:szCs w:val="16"/>
      <w:lang w:eastAsia="de-CH"/>
    </w:rPr>
  </w:style>
  <w:style w:type="paragraph" w:customStyle="1" w:styleId="xl209">
    <w:name w:val="xl209"/>
    <w:basedOn w:val="Standard"/>
    <w:pPr>
      <w:spacing w:before="100" w:beforeAutospacing="1" w:after="100" w:afterAutospacing="1" w:line="240" w:lineRule="auto"/>
    </w:pPr>
    <w:rPr>
      <w:rFonts w:eastAsia="Times New Roman" w:cs="Arial"/>
      <w:sz w:val="16"/>
      <w:szCs w:val="16"/>
      <w:lang w:eastAsia="de-CH"/>
    </w:rPr>
  </w:style>
  <w:style w:type="paragraph" w:customStyle="1" w:styleId="xl210">
    <w:name w:val="xl210"/>
    <w:basedOn w:val="Standard"/>
    <w:pPr>
      <w:spacing w:before="100" w:beforeAutospacing="1" w:after="100" w:afterAutospacing="1" w:line="240" w:lineRule="auto"/>
    </w:pPr>
    <w:rPr>
      <w:rFonts w:eastAsia="Times New Roman" w:cs="Arial"/>
      <w:i/>
      <w:iCs/>
      <w:sz w:val="16"/>
      <w:szCs w:val="16"/>
      <w:lang w:eastAsia="de-CH"/>
    </w:rPr>
  </w:style>
  <w:style w:type="paragraph" w:customStyle="1" w:styleId="xl211">
    <w:name w:val="xl211"/>
    <w:basedOn w:val="Standard"/>
    <w:pPr>
      <w:spacing w:before="100" w:beforeAutospacing="1" w:after="100" w:afterAutospacing="1" w:line="240" w:lineRule="auto"/>
      <w:jc w:val="center"/>
    </w:pPr>
    <w:rPr>
      <w:rFonts w:eastAsia="Times New Roman" w:cs="Arial"/>
      <w:sz w:val="16"/>
      <w:szCs w:val="16"/>
      <w:lang w:eastAsia="de-CH"/>
    </w:rPr>
  </w:style>
  <w:style w:type="paragraph" w:customStyle="1" w:styleId="xl212">
    <w:name w:val="xl212"/>
    <w:basedOn w:val="Standard"/>
    <w:pPr>
      <w:spacing w:before="100" w:beforeAutospacing="1" w:after="100" w:afterAutospacing="1" w:line="240" w:lineRule="auto"/>
    </w:pPr>
    <w:rPr>
      <w:rFonts w:eastAsia="Times New Roman" w:cs="Arial"/>
      <w:i/>
      <w:iCs/>
      <w:color w:val="000000"/>
      <w:sz w:val="16"/>
      <w:szCs w:val="16"/>
      <w:lang w:eastAsia="de-CH"/>
    </w:rPr>
  </w:style>
  <w:style w:type="paragraph" w:customStyle="1" w:styleId="xl213">
    <w:name w:val="xl213"/>
    <w:basedOn w:val="Standard"/>
    <w:pPr>
      <w:pBdr>
        <w:bottom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214">
    <w:name w:val="xl214"/>
    <w:basedOn w:val="Standard"/>
    <w:pPr>
      <w:spacing w:before="100" w:beforeAutospacing="1" w:after="100" w:afterAutospacing="1" w:line="240" w:lineRule="auto"/>
    </w:pPr>
    <w:rPr>
      <w:rFonts w:eastAsia="Times New Roman" w:cs="Arial"/>
      <w:i/>
      <w:iCs/>
      <w:color w:val="000000"/>
      <w:sz w:val="16"/>
      <w:szCs w:val="16"/>
      <w:lang w:eastAsia="de-CH"/>
    </w:rPr>
  </w:style>
  <w:style w:type="paragraph" w:customStyle="1" w:styleId="xl215">
    <w:name w:val="xl215"/>
    <w:basedOn w:val="Standard"/>
    <w:pPr>
      <w:pBdr>
        <w:bottom w:val="single" w:sz="4" w:space="0" w:color="auto"/>
      </w:pBdr>
      <w:spacing w:before="100" w:beforeAutospacing="1" w:after="100" w:afterAutospacing="1" w:line="240" w:lineRule="auto"/>
    </w:pPr>
    <w:rPr>
      <w:rFonts w:eastAsia="Times New Roman" w:cs="Arial"/>
      <w:i/>
      <w:iCs/>
      <w:sz w:val="16"/>
      <w:szCs w:val="16"/>
      <w:lang w:eastAsia="de-CH"/>
    </w:rPr>
  </w:style>
  <w:style w:type="paragraph" w:customStyle="1" w:styleId="xl216">
    <w:name w:val="xl216"/>
    <w:basedOn w:val="Standard"/>
    <w:pPr>
      <w:pBdr>
        <w:bottom w:val="single" w:sz="4" w:space="0" w:color="auto"/>
      </w:pBdr>
      <w:spacing w:before="100" w:beforeAutospacing="1" w:after="100" w:afterAutospacing="1" w:line="240" w:lineRule="auto"/>
      <w:jc w:val="center"/>
    </w:pPr>
    <w:rPr>
      <w:rFonts w:eastAsia="Times New Roman" w:cs="Arial"/>
      <w:sz w:val="16"/>
      <w:szCs w:val="16"/>
      <w:lang w:eastAsia="de-CH"/>
    </w:rPr>
  </w:style>
  <w:style w:type="paragraph" w:customStyle="1" w:styleId="xl217">
    <w:name w:val="xl217"/>
    <w:basedOn w:val="Standard"/>
    <w:pPr>
      <w:pBdr>
        <w:bottom w:val="single" w:sz="4" w:space="0" w:color="auto"/>
      </w:pBdr>
      <w:spacing w:before="100" w:beforeAutospacing="1" w:after="100" w:afterAutospacing="1" w:line="240" w:lineRule="auto"/>
    </w:pPr>
    <w:rPr>
      <w:rFonts w:eastAsia="Times New Roman" w:cs="Arial"/>
      <w:i/>
      <w:iCs/>
      <w:color w:val="000000"/>
      <w:sz w:val="16"/>
      <w:szCs w:val="16"/>
      <w:lang w:eastAsia="de-CH"/>
    </w:rPr>
  </w:style>
  <w:style w:type="paragraph" w:customStyle="1" w:styleId="xl218">
    <w:name w:val="xl218"/>
    <w:basedOn w:val="Standard"/>
    <w:pPr>
      <w:pBdr>
        <w:top w:val="single" w:sz="4" w:space="0" w:color="auto"/>
      </w:pBdr>
      <w:spacing w:before="100" w:beforeAutospacing="1" w:after="100" w:afterAutospacing="1" w:line="240" w:lineRule="auto"/>
      <w:jc w:val="center"/>
    </w:pPr>
    <w:rPr>
      <w:rFonts w:eastAsia="Times New Roman" w:cs="Arial"/>
      <w:color w:val="000000"/>
      <w:sz w:val="16"/>
      <w:szCs w:val="16"/>
      <w:lang w:eastAsia="de-CH"/>
    </w:rPr>
  </w:style>
  <w:style w:type="paragraph" w:customStyle="1" w:styleId="xl219">
    <w:name w:val="xl219"/>
    <w:basedOn w:val="Standard"/>
    <w:pPr>
      <w:spacing w:before="100" w:beforeAutospacing="1" w:after="100" w:afterAutospacing="1" w:line="240" w:lineRule="auto"/>
      <w:jc w:val="center"/>
    </w:pPr>
    <w:rPr>
      <w:rFonts w:eastAsia="Times New Roman" w:cs="Arial"/>
      <w:color w:val="000000"/>
      <w:sz w:val="16"/>
      <w:szCs w:val="16"/>
      <w:lang w:eastAsia="de-CH"/>
    </w:rPr>
  </w:style>
  <w:style w:type="paragraph" w:customStyle="1" w:styleId="xl220">
    <w:name w:val="xl220"/>
    <w:basedOn w:val="Standard"/>
    <w:pPr>
      <w:pBdr>
        <w:bottom w:val="single" w:sz="4" w:space="0" w:color="auto"/>
      </w:pBdr>
      <w:spacing w:before="100" w:beforeAutospacing="1" w:after="100" w:afterAutospacing="1" w:line="240" w:lineRule="auto"/>
      <w:jc w:val="center"/>
    </w:pPr>
    <w:rPr>
      <w:rFonts w:eastAsia="Times New Roman" w:cs="Arial"/>
      <w:color w:val="000000"/>
      <w:sz w:val="16"/>
      <w:szCs w:val="16"/>
      <w:lang w:eastAsia="de-CH"/>
    </w:rPr>
  </w:style>
  <w:style w:type="paragraph" w:customStyle="1" w:styleId="xl221">
    <w:name w:val="xl221"/>
    <w:basedOn w:val="Standard"/>
    <w:pPr>
      <w:pBdr>
        <w:top w:val="single" w:sz="4" w:space="0" w:color="auto"/>
        <w:bottom w:val="single" w:sz="4" w:space="0" w:color="auto"/>
      </w:pBdr>
      <w:spacing w:before="100" w:beforeAutospacing="1" w:after="100" w:afterAutospacing="1" w:line="240" w:lineRule="auto"/>
      <w:jc w:val="right"/>
    </w:pPr>
    <w:rPr>
      <w:rFonts w:eastAsia="Times New Roman" w:cs="Arial"/>
      <w:sz w:val="16"/>
      <w:szCs w:val="16"/>
      <w:lang w:eastAsia="de-CH"/>
    </w:rPr>
  </w:style>
  <w:style w:type="paragraph" w:customStyle="1" w:styleId="xl222">
    <w:name w:val="xl222"/>
    <w:basedOn w:val="Standard"/>
    <w:pPr>
      <w:spacing w:before="100" w:beforeAutospacing="1" w:after="100" w:afterAutospacing="1" w:line="240" w:lineRule="auto"/>
    </w:pPr>
    <w:rPr>
      <w:rFonts w:eastAsia="Times New Roman" w:cs="Arial"/>
      <w:sz w:val="16"/>
      <w:szCs w:val="16"/>
      <w:lang w:eastAsia="de-CH"/>
    </w:rPr>
  </w:style>
  <w:style w:type="paragraph" w:customStyle="1" w:styleId="xl223">
    <w:name w:val="xl223"/>
    <w:basedOn w:val="Standard"/>
    <w:pPr>
      <w:pBdr>
        <w:bottom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224">
    <w:name w:val="xl224"/>
    <w:basedOn w:val="Standard"/>
    <w:pPr>
      <w:spacing w:before="100" w:beforeAutospacing="1" w:after="100" w:afterAutospacing="1" w:line="240" w:lineRule="auto"/>
    </w:pPr>
    <w:rPr>
      <w:rFonts w:eastAsia="Times New Roman" w:cs="Arial"/>
      <w:i/>
      <w:iCs/>
      <w:sz w:val="16"/>
      <w:szCs w:val="16"/>
      <w:lang w:eastAsia="de-CH"/>
    </w:rPr>
  </w:style>
  <w:style w:type="paragraph" w:customStyle="1" w:styleId="xl225">
    <w:name w:val="xl225"/>
    <w:basedOn w:val="Standard"/>
    <w:pPr>
      <w:pBdr>
        <w:top w:val="single" w:sz="4" w:space="0" w:color="auto"/>
      </w:pBdr>
      <w:spacing w:before="100" w:beforeAutospacing="1" w:after="100" w:afterAutospacing="1" w:line="240" w:lineRule="auto"/>
    </w:pPr>
    <w:rPr>
      <w:rFonts w:eastAsia="Times New Roman" w:cs="Arial"/>
      <w:sz w:val="16"/>
      <w:szCs w:val="16"/>
      <w:lang w:eastAsia="de-CH"/>
    </w:rPr>
  </w:style>
  <w:style w:type="paragraph" w:customStyle="1" w:styleId="xl226">
    <w:name w:val="xl226"/>
    <w:basedOn w:val="Standard"/>
    <w:pPr>
      <w:shd w:val="clear" w:color="92D050" w:fill="92D050"/>
      <w:spacing w:before="100" w:beforeAutospacing="1" w:after="100" w:afterAutospacing="1" w:line="240" w:lineRule="auto"/>
    </w:pPr>
    <w:rPr>
      <w:rFonts w:eastAsia="Times New Roman" w:cs="Arial"/>
      <w:b/>
      <w:bCs/>
      <w:color w:val="0000FF"/>
      <w:sz w:val="16"/>
      <w:szCs w:val="16"/>
      <w:lang w:eastAsia="de-CH"/>
    </w:rPr>
  </w:style>
  <w:style w:type="numbering" w:customStyle="1" w:styleId="KeineListe1">
    <w:name w:val="Keine Liste1"/>
    <w:next w:val="KeineListe"/>
    <w:uiPriority w:val="99"/>
    <w:semiHidden/>
    <w:unhideWhenUsed/>
  </w:style>
  <w:style w:type="paragraph" w:customStyle="1" w:styleId="berschrift51">
    <w:name w:val="Überschrift 51"/>
    <w:basedOn w:val="Standard"/>
    <w:next w:val="Standard"/>
    <w:uiPriority w:val="9"/>
    <w:semiHidden/>
    <w:unhideWhenUsed/>
    <w:qFormat/>
    <w:pPr>
      <w:keepNext/>
      <w:keepLines/>
      <w:spacing w:before="200" w:after="0" w:line="276" w:lineRule="auto"/>
      <w:ind w:left="1008" w:hanging="959"/>
      <w:outlineLvl w:val="4"/>
    </w:pPr>
    <w:rPr>
      <w:rFonts w:ascii="Cambria" w:eastAsia="Cambria" w:hAnsi="Cambria" w:cs="Cambria"/>
      <w:color w:val="243F60"/>
      <w:szCs w:val="20"/>
    </w:rPr>
  </w:style>
  <w:style w:type="paragraph" w:customStyle="1" w:styleId="berschrift61">
    <w:name w:val="Überschrift 61"/>
    <w:basedOn w:val="Standard"/>
    <w:next w:val="Standard"/>
    <w:uiPriority w:val="9"/>
    <w:semiHidden/>
    <w:unhideWhenUsed/>
    <w:qFormat/>
    <w:pPr>
      <w:keepNext/>
      <w:keepLines/>
      <w:spacing w:before="200" w:after="0" w:line="276" w:lineRule="auto"/>
      <w:ind w:left="1152" w:hanging="1103"/>
      <w:outlineLvl w:val="5"/>
    </w:pPr>
    <w:rPr>
      <w:rFonts w:ascii="Cambria" w:eastAsia="Cambria" w:hAnsi="Cambria" w:cs="Cambria"/>
      <w:i/>
      <w:iCs/>
      <w:color w:val="243F60"/>
      <w:szCs w:val="20"/>
    </w:rPr>
  </w:style>
  <w:style w:type="paragraph" w:customStyle="1" w:styleId="berschrift71">
    <w:name w:val="Überschrift 71"/>
    <w:basedOn w:val="Standard"/>
    <w:next w:val="Standard"/>
    <w:uiPriority w:val="9"/>
    <w:semiHidden/>
    <w:unhideWhenUsed/>
    <w:qFormat/>
    <w:pPr>
      <w:keepNext/>
      <w:keepLines/>
      <w:spacing w:before="200" w:after="0" w:line="276" w:lineRule="auto"/>
      <w:ind w:left="1296" w:hanging="1247"/>
      <w:outlineLvl w:val="6"/>
    </w:pPr>
    <w:rPr>
      <w:rFonts w:ascii="Cambria" w:eastAsia="Cambria" w:hAnsi="Cambria" w:cs="Cambria"/>
      <w:i/>
      <w:iCs/>
      <w:color w:val="404040"/>
      <w:szCs w:val="20"/>
    </w:rPr>
  </w:style>
  <w:style w:type="paragraph" w:customStyle="1" w:styleId="berschrift81">
    <w:name w:val="Überschrift 81"/>
    <w:basedOn w:val="Standard"/>
    <w:next w:val="Standard"/>
    <w:uiPriority w:val="9"/>
    <w:semiHidden/>
    <w:unhideWhenUsed/>
    <w:qFormat/>
    <w:pPr>
      <w:keepNext/>
      <w:keepLines/>
      <w:spacing w:before="200" w:after="0" w:line="276" w:lineRule="auto"/>
      <w:ind w:left="1440" w:hanging="1391"/>
      <w:outlineLvl w:val="7"/>
    </w:pPr>
    <w:rPr>
      <w:rFonts w:ascii="Cambria" w:eastAsia="Cambria" w:hAnsi="Cambria" w:cs="Cambria"/>
      <w:color w:val="404040"/>
      <w:szCs w:val="20"/>
    </w:rPr>
  </w:style>
  <w:style w:type="paragraph" w:customStyle="1" w:styleId="berschrift91">
    <w:name w:val="Überschrift 91"/>
    <w:basedOn w:val="Standard"/>
    <w:next w:val="Standard"/>
    <w:uiPriority w:val="9"/>
    <w:semiHidden/>
    <w:unhideWhenUsed/>
    <w:qFormat/>
    <w:pPr>
      <w:keepNext/>
      <w:keepLines/>
      <w:spacing w:before="200" w:after="0" w:line="276" w:lineRule="auto"/>
      <w:ind w:left="1584" w:hanging="1535"/>
      <w:outlineLvl w:val="8"/>
    </w:pPr>
    <w:rPr>
      <w:rFonts w:ascii="Cambria" w:eastAsia="Cambria" w:hAnsi="Cambria" w:cs="Cambria"/>
      <w:i/>
      <w:iCs/>
      <w:color w:val="404040"/>
      <w:szCs w:val="20"/>
    </w:rPr>
  </w:style>
  <w:style w:type="numbering" w:customStyle="1" w:styleId="KeineListe11">
    <w:name w:val="Keine Liste11"/>
    <w:next w:val="KeineListe"/>
    <w:uiPriority w:val="99"/>
    <w:semiHidden/>
    <w:unhideWhenUsed/>
  </w:style>
  <w:style w:type="paragraph" w:customStyle="1" w:styleId="Beschriftung1">
    <w:name w:val="Beschriftung1"/>
    <w:basedOn w:val="Standard"/>
    <w:next w:val="Standard"/>
    <w:uiPriority w:val="35"/>
    <w:semiHidden/>
    <w:unhideWhenUsed/>
    <w:qFormat/>
    <w:pPr>
      <w:spacing w:before="60" w:after="0" w:line="276" w:lineRule="auto"/>
    </w:pPr>
    <w:rPr>
      <w:rFonts w:eastAsia="Calibri" w:cs="Arial"/>
      <w:b/>
      <w:bCs/>
      <w:color w:val="4F81BD"/>
      <w:sz w:val="18"/>
      <w:szCs w:val="18"/>
    </w:rPr>
  </w:style>
  <w:style w:type="table" w:customStyle="1" w:styleId="TableGridLight10">
    <w:name w:val="Table Grid Light1"/>
    <w:basedOn w:val="NormaleTabelle"/>
    <w:uiPriority w:val="59"/>
    <w:pPr>
      <w:spacing w:before="60" w:after="0" w:line="240" w:lineRule="auto"/>
      <w:ind w:left="709"/>
    </w:pPr>
    <w:rPr>
      <w:rFonts w:ascii="Calibri" w:eastAsia="Calibri" w:hAnsi="Calibri" w:cs="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EinfacheTabelle11">
    <w:name w:val="Einfache Tabelle 11"/>
    <w:basedOn w:val="NormaleTabelle"/>
    <w:next w:val="EinfacheTabelle1"/>
    <w:uiPriority w:val="59"/>
    <w:pPr>
      <w:spacing w:before="60" w:after="0" w:line="240" w:lineRule="auto"/>
      <w:ind w:left="709"/>
    </w:pPr>
    <w:rPr>
      <w:rFonts w:ascii="Calibri" w:eastAsia="Calibri" w:hAnsi="Calibri" w:cs="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EinfacheTabelle21">
    <w:name w:val="Einfache Tabelle 21"/>
    <w:basedOn w:val="NormaleTabelle"/>
    <w:next w:val="EinfacheTabelle2"/>
    <w:uiPriority w:val="59"/>
    <w:pPr>
      <w:spacing w:before="60" w:after="0" w:line="240" w:lineRule="auto"/>
      <w:ind w:left="709"/>
    </w:pPr>
    <w:rPr>
      <w:rFonts w:ascii="Calibri" w:eastAsia="Calibri" w:hAnsi="Calibri" w:cs="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EinfacheTabelle31">
    <w:name w:val="Einfache Tabelle 31"/>
    <w:basedOn w:val="NormaleTabelle"/>
    <w:next w:val="EinfacheTabelle3"/>
    <w:uiPriority w:val="99"/>
    <w:pPr>
      <w:spacing w:before="60" w:after="0" w:line="240" w:lineRule="auto"/>
      <w:ind w:left="709"/>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41">
    <w:name w:val="Einfache Tabelle 41"/>
    <w:basedOn w:val="NormaleTabelle"/>
    <w:next w:val="EinfacheTabelle4"/>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51">
    <w:name w:val="Einfache Tabelle 51"/>
    <w:basedOn w:val="NormaleTabelle"/>
    <w:next w:val="EinfacheTabelle5"/>
    <w:uiPriority w:val="99"/>
    <w:pPr>
      <w:spacing w:before="60" w:after="0" w:line="240" w:lineRule="auto"/>
      <w:ind w:left="709"/>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itternetztabelle1hell1">
    <w:name w:val="Gitternetztabelle 1 hell1"/>
    <w:basedOn w:val="NormaleTabelle"/>
    <w:next w:val="Gitternetztabelle1hell"/>
    <w:uiPriority w:val="99"/>
    <w:pPr>
      <w:spacing w:before="60" w:after="0" w:line="240" w:lineRule="auto"/>
      <w:ind w:left="709"/>
    </w:pPr>
    <w:rPr>
      <w:rFonts w:ascii="Calibri" w:eastAsia="Calibri" w:hAnsi="Calibri" w:cs="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itternetztabelle21">
    <w:name w:val="Gitternetztabelle 21"/>
    <w:basedOn w:val="NormaleTabelle"/>
    <w:next w:val="Gitternetztabelle2"/>
    <w:uiPriority w:val="99"/>
    <w:pPr>
      <w:spacing w:before="60" w:after="0" w:line="240" w:lineRule="auto"/>
      <w:ind w:left="709"/>
    </w:pPr>
    <w:rPr>
      <w:rFonts w:ascii="Calibri" w:eastAsia="Calibri" w:hAnsi="Calibri" w:cs="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0">
    <w:name w:val="Grid Table 2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0">
    <w:name w:val="Grid Table 2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0">
    <w:name w:val="Grid Table 2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0">
    <w:name w:val="Grid Table 2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0">
    <w:name w:val="Grid Table 2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31">
    <w:name w:val="Gitternetztabelle 31"/>
    <w:basedOn w:val="NormaleTabelle"/>
    <w:next w:val="Gitternetztabelle3"/>
    <w:uiPriority w:val="99"/>
    <w:pPr>
      <w:spacing w:before="60" w:after="0" w:line="240" w:lineRule="auto"/>
      <w:ind w:left="709"/>
    </w:pPr>
    <w:rPr>
      <w:rFonts w:ascii="Calibri" w:eastAsia="Calibri" w:hAnsi="Calibri" w:cs="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0">
    <w:name w:val="Grid Table 3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0">
    <w:name w:val="Grid Table 3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0">
    <w:name w:val="Grid Table 3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0">
    <w:name w:val="Grid Table 3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0">
    <w:name w:val="Grid Table 3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41">
    <w:name w:val="Gitternetztabelle 41"/>
    <w:basedOn w:val="NormaleTabelle"/>
    <w:next w:val="Gitternetztabelle4"/>
    <w:uiPriority w:val="59"/>
    <w:pPr>
      <w:spacing w:before="60" w:after="0" w:line="240" w:lineRule="auto"/>
      <w:ind w:left="709"/>
    </w:pPr>
    <w:rPr>
      <w:rFonts w:ascii="Calibri" w:eastAsia="Calibri" w:hAnsi="Calibri" w:cs="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0">
    <w:name w:val="Grid Table 4 - Accent 2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0">
    <w:name w:val="Grid Table 4 - Accent 3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0">
    <w:name w:val="Grid Table 4 - Accent 4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0">
    <w:name w:val="Grid Table 4 - Accent 5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0">
    <w:name w:val="Grid Table 4 - Accent 61"/>
    <w:basedOn w:val="NormaleTabelle"/>
    <w:uiPriority w:val="59"/>
    <w:pPr>
      <w:spacing w:before="60" w:after="0" w:line="240" w:lineRule="auto"/>
      <w:ind w:left="709"/>
    </w:pPr>
    <w:rPr>
      <w:rFonts w:ascii="Calibri" w:eastAsia="Calibri" w:hAnsi="Calibri" w:cs="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5dunkel1">
    <w:name w:val="Gitternetztabelle 5 dunkel1"/>
    <w:basedOn w:val="NormaleTabelle"/>
    <w:next w:val="Gitternetztabelle5dunkel"/>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0">
    <w:name w:val="Grid Table 5 Dark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0">
    <w:name w:val="Grid Table 5 Dark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0">
    <w:name w:val="Grid Table 5 Dark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0">
    <w:name w:val="Grid Table 5 Dark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tternetztabelle6farbig1">
    <w:name w:val="Gritternetztabelle 6 farbig1"/>
    <w:basedOn w:val="NormaleTabelle"/>
    <w:next w:val="Gitternetztabelle6farbig"/>
    <w:uiPriority w:val="99"/>
    <w:pPr>
      <w:spacing w:before="60" w:after="0" w:line="240" w:lineRule="auto"/>
      <w:ind w:left="709"/>
    </w:pPr>
    <w:rPr>
      <w:rFonts w:ascii="Calibri" w:eastAsia="Calibri" w:hAnsi="Calibri" w:cs="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0">
    <w:name w:val="Grid Table 6 Colorful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0">
    <w:name w:val="Grid Table 6 Colorful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0">
    <w:name w:val="Grid Table 6 Colorful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0">
    <w:name w:val="Grid Table 6 Colorful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0">
    <w:name w:val="Grid Table 6 Colorful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tternetztabelle7farbig1">
    <w:name w:val="Gritternetztabelle 7 farbig1"/>
    <w:basedOn w:val="NormaleTabelle"/>
    <w:next w:val="Gitternetztabelle7farbig"/>
    <w:uiPriority w:val="99"/>
    <w:pPr>
      <w:spacing w:before="60" w:after="0" w:line="240" w:lineRule="auto"/>
      <w:ind w:left="709"/>
    </w:pPr>
    <w:rPr>
      <w:rFonts w:ascii="Calibri" w:eastAsia="Calibri" w:hAnsi="Calibri" w:cs="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0">
    <w:name w:val="Grid Table 7 Colorful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0">
    <w:name w:val="Grid Table 7 Colorful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0">
    <w:name w:val="Grid Table 7 Colorful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0">
    <w:name w:val="Grid Table 7 Colorful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0">
    <w:name w:val="Grid Table 7 Colorful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entabelle1hell1">
    <w:name w:val="Listentabelle 1 hell1"/>
    <w:basedOn w:val="NormaleTabelle"/>
    <w:next w:val="Listentabelle1hell"/>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0">
    <w:name w:val="List Table 1 Light - Accent 2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0">
    <w:name w:val="List Table 1 Light - Accent 3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0">
    <w:name w:val="List Table 1 Light - Accent 4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0">
    <w:name w:val="List Table 1 Light - Accent 5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0">
    <w:name w:val="List Table 1 Light - Accent 61"/>
    <w:basedOn w:val="NormaleTabelle"/>
    <w:uiPriority w:val="99"/>
    <w:pPr>
      <w:spacing w:before="60" w:after="0" w:line="240" w:lineRule="auto"/>
      <w:ind w:left="709"/>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entabelle21">
    <w:name w:val="Listentabelle 21"/>
    <w:basedOn w:val="NormaleTabelle"/>
    <w:next w:val="Listentabelle2"/>
    <w:uiPriority w:val="99"/>
    <w:pPr>
      <w:spacing w:before="60" w:after="0" w:line="240" w:lineRule="auto"/>
      <w:ind w:left="709"/>
    </w:pPr>
    <w:rPr>
      <w:rFonts w:ascii="Calibri" w:eastAsia="Calibri" w:hAnsi="Calibri" w:cs="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0">
    <w:name w:val="List Table 2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0">
    <w:name w:val="List Table 2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0">
    <w:name w:val="List Table 2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0">
    <w:name w:val="List Table 2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0">
    <w:name w:val="List Table 2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31">
    <w:name w:val="Listentabelle 31"/>
    <w:basedOn w:val="NormaleTabelle"/>
    <w:next w:val="Listentabelle3"/>
    <w:uiPriority w:val="99"/>
    <w:pPr>
      <w:spacing w:before="60" w:after="0" w:line="240" w:lineRule="auto"/>
      <w:ind w:left="709"/>
    </w:pPr>
    <w:rPr>
      <w:rFonts w:ascii="Calibri" w:eastAsia="Calibri" w:hAnsi="Calibri" w:cs="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entabelle41">
    <w:name w:val="Listentabelle 41"/>
    <w:basedOn w:val="NormaleTabelle"/>
    <w:next w:val="Listentabelle4"/>
    <w:uiPriority w:val="99"/>
    <w:pPr>
      <w:spacing w:before="60" w:after="0" w:line="240" w:lineRule="auto"/>
      <w:ind w:left="709"/>
    </w:pPr>
    <w:rPr>
      <w:rFonts w:ascii="Calibri" w:eastAsia="Calibri" w:hAnsi="Calibri" w:cs="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0">
    <w:name w:val="List Table 4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0">
    <w:name w:val="List Table 4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0">
    <w:name w:val="List Table 4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0">
    <w:name w:val="List Table 4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0">
    <w:name w:val="List Table 4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5dunkel1">
    <w:name w:val="Listentabelle 5 dunkel1"/>
    <w:basedOn w:val="NormaleTabelle"/>
    <w:next w:val="Listentabelle5dunkel"/>
    <w:uiPriority w:val="99"/>
    <w:pPr>
      <w:spacing w:before="60" w:after="0" w:line="240" w:lineRule="auto"/>
      <w:ind w:left="709"/>
    </w:pPr>
    <w:rPr>
      <w:rFonts w:ascii="Calibri" w:eastAsia="Calibri" w:hAnsi="Calibri" w:cs="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0">
    <w:name w:val="List Table 5 Dark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0">
    <w:name w:val="List Table 5 Dark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0">
    <w:name w:val="List Table 5 Dark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0">
    <w:name w:val="List Table 5 Dark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0">
    <w:name w:val="List Table 5 Dark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entabelle6farbig1">
    <w:name w:val="Listentabelle 6 farbig1"/>
    <w:basedOn w:val="NormaleTabelle"/>
    <w:next w:val="Listentabelle6farbig"/>
    <w:uiPriority w:val="99"/>
    <w:pPr>
      <w:spacing w:before="60" w:after="0" w:line="240" w:lineRule="auto"/>
      <w:ind w:left="709"/>
    </w:pPr>
    <w:rPr>
      <w:rFonts w:ascii="Calibri" w:eastAsia="Calibri" w:hAnsi="Calibri" w:cs="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0">
    <w:name w:val="List Table 6 Colorful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0">
    <w:name w:val="List Table 6 Colorful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0">
    <w:name w:val="List Table 6 Colorful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0">
    <w:name w:val="List Table 6 Colorful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0">
    <w:name w:val="List Table 6 Colorful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entabelle7farbig1">
    <w:name w:val="Listentabelle 7 farbig1"/>
    <w:basedOn w:val="NormaleTabelle"/>
    <w:next w:val="Listentabelle7farbig"/>
    <w:uiPriority w:val="99"/>
    <w:pPr>
      <w:spacing w:before="60" w:after="0" w:line="240" w:lineRule="auto"/>
      <w:ind w:left="709"/>
    </w:pPr>
    <w:rPr>
      <w:rFonts w:ascii="Calibri" w:eastAsia="Calibri" w:hAnsi="Calibri" w:cs="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0">
    <w:name w:val="List Table 7 Colorful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0">
    <w:name w:val="List Table 7 Colorful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0">
    <w:name w:val="List Table 7 Colorful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0">
    <w:name w:val="List Table 7 Colorful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0">
    <w:name w:val="List Table 7 Colorful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1">
    <w:name w:val="Lined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1">
    <w:name w:val="Lined - Accent 2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1">
    <w:name w:val="Lined - Accent 3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1">
    <w:name w:val="Lined - Accent 4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1">
    <w:name w:val="Bordered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NormaleTabelle"/>
    <w:uiPriority w:val="99"/>
    <w:pPr>
      <w:spacing w:before="60" w:after="0" w:line="240" w:lineRule="auto"/>
      <w:ind w:left="709"/>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1">
    <w:name w:val="Bordered &amp; Lined - Accent 2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1">
    <w:name w:val="Bordered &amp; Lined - Accent 3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1">
    <w:name w:val="Bordered &amp; Lined - Accent 4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NormaleTabelle"/>
    <w:uiPriority w:val="99"/>
    <w:pPr>
      <w:spacing w:before="60" w:after="0" w:line="240" w:lineRule="auto"/>
      <w:ind w:left="709"/>
    </w:pPr>
    <w:rPr>
      <w:rFonts w:ascii="Calibri" w:eastAsia="Calibri" w:hAnsi="Calibri" w:cs="Calibri"/>
      <w:color w:val="404040"/>
      <w:sz w:val="20"/>
      <w:szCs w:val="20"/>
      <w:lang w:eastAsia="de-CH"/>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paragraph" w:customStyle="1" w:styleId="Untertitel1">
    <w:name w:val="Untertitel1"/>
    <w:basedOn w:val="Standard"/>
    <w:next w:val="Standard"/>
    <w:uiPriority w:val="11"/>
    <w:pPr>
      <w:numPr>
        <w:ilvl w:val="1"/>
      </w:numPr>
      <w:spacing w:before="60" w:after="0" w:line="276" w:lineRule="auto"/>
      <w:ind w:left="709"/>
    </w:pPr>
    <w:rPr>
      <w:rFonts w:ascii="Cambria" w:eastAsia="Cambria" w:hAnsi="Cambria" w:cs="Cambria"/>
      <w:i/>
      <w:iCs/>
      <w:color w:val="4F81BD"/>
      <w:spacing w:val="15"/>
      <w:sz w:val="24"/>
      <w:szCs w:val="24"/>
    </w:rPr>
  </w:style>
  <w:style w:type="character" w:customStyle="1" w:styleId="Hyperlink1">
    <w:name w:val="Hyperlink1"/>
    <w:basedOn w:val="Absatz-Standardschriftart"/>
    <w:uiPriority w:val="99"/>
    <w:unhideWhenUsed/>
    <w:rPr>
      <w:color w:val="0000FF"/>
      <w:u w:val="single"/>
    </w:rPr>
  </w:style>
  <w:style w:type="paragraph" w:customStyle="1" w:styleId="Inhaltsverzeichnisberschrift1">
    <w:name w:val="Inhaltsverzeichnisüberschrift1"/>
    <w:basedOn w:val="berschrift1"/>
    <w:next w:val="Standard"/>
    <w:uiPriority w:val="39"/>
    <w:unhideWhenUsed/>
    <w:pPr>
      <w:numPr>
        <w:numId w:val="0"/>
      </w:numPr>
      <w:spacing w:before="480" w:after="0" w:line="276" w:lineRule="auto"/>
    </w:pPr>
    <w:rPr>
      <w:rFonts w:ascii="Cambria" w:eastAsia="Cambria" w:hAnsi="Cambria" w:cs="Cambria"/>
      <w:bCs/>
      <w:color w:val="365F91"/>
      <w:sz w:val="28"/>
      <w:szCs w:val="28"/>
      <w:lang w:val="de-CH" w:eastAsia="de-CH"/>
    </w:rPr>
  </w:style>
  <w:style w:type="table" w:customStyle="1" w:styleId="Tabellenraster11">
    <w:name w:val="Tabellenraster11"/>
    <w:basedOn w:val="NormaleTabelle"/>
    <w:next w:val="Tabellenraster"/>
    <w:uiPriority w:val="39"/>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tertitelZchn2">
    <w:name w:val="Untertitel Zchn2"/>
    <w:basedOn w:val="Absatz-Standardschriftart"/>
    <w:uiPriority w:val="11"/>
    <w:rPr>
      <w:rFonts w:eastAsia="Times New Roman"/>
      <w:color w:val="5A5A5A"/>
      <w:spacing w:val="15"/>
    </w:rPr>
  </w:style>
  <w:style w:type="table" w:customStyle="1" w:styleId="EinfacheTabelle12">
    <w:name w:val="Einfache Tabelle 12"/>
    <w:basedOn w:val="NormaleTabelle"/>
    <w:next w:val="EinfacheTabelle1"/>
    <w:uiPriority w:val="41"/>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F2F2F2" w:fill="F2F2F2"/>
      </w:tcPr>
    </w:tblStylePr>
    <w:tblStylePr w:type="band1Horz">
      <w:tblPr/>
      <w:tcPr>
        <w:shd w:val="clear" w:color="F2F2F2" w:fill="F2F2F2"/>
      </w:tcPr>
    </w:tblStylePr>
  </w:style>
  <w:style w:type="table" w:customStyle="1" w:styleId="EinfacheTabelle22">
    <w:name w:val="Einfache Tabelle 22"/>
    <w:basedOn w:val="NormaleTabelle"/>
    <w:next w:val="EinfacheTabelle2"/>
    <w:uiPriority w:val="42"/>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32">
    <w:name w:val="Einfache Tabelle 32"/>
    <w:basedOn w:val="NormaleTabelle"/>
    <w:next w:val="EinfacheTabelle3"/>
    <w:uiPriority w:val="43"/>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F2F2F2" w:fill="F2F2F2"/>
      </w:tcPr>
    </w:tblStylePr>
    <w:tblStylePr w:type="band1Horz">
      <w:tblPr/>
      <w:tcPr>
        <w:shd w:val="clear" w:color="F2F2F2"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EinfacheTabelle42">
    <w:name w:val="Einfache Tabelle 42"/>
    <w:basedOn w:val="NormaleTabelle"/>
    <w:next w:val="EinfacheTabelle4"/>
    <w:uiPriority w:val="44"/>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F2F2F2" w:fill="F2F2F2"/>
      </w:tcPr>
    </w:tblStylePr>
    <w:tblStylePr w:type="band1Horz">
      <w:tblPr/>
      <w:tcPr>
        <w:shd w:val="clear" w:color="F2F2F2" w:fill="F2F2F2"/>
      </w:tcPr>
    </w:tblStylePr>
  </w:style>
  <w:style w:type="table" w:customStyle="1" w:styleId="EinfacheTabelle52">
    <w:name w:val="Einfache Tabelle 52"/>
    <w:basedOn w:val="NormaleTabelle"/>
    <w:next w:val="EinfacheTabelle5"/>
    <w:uiPriority w:val="45"/>
    <w:pPr>
      <w:spacing w:after="0" w:line="240" w:lineRule="auto"/>
    </w:pPr>
    <w:rPr>
      <w:rFonts w:ascii="Calibri" w:eastAsia="Calibri"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FFFFFF" w:fill="FFFFFF"/>
      </w:tcPr>
    </w:tblStylePr>
    <w:tblStylePr w:type="lastRow">
      <w:rPr>
        <w:rFonts w:ascii="Calibri Light" w:eastAsia="Times New Roman" w:hAnsi="Calibri Light" w:cs="Times New Roman"/>
        <w:i/>
        <w:iCs/>
        <w:sz w:val="26"/>
      </w:rPr>
      <w:tblPr/>
      <w:tcPr>
        <w:tcBorders>
          <w:top w:val="single" w:sz="4" w:space="0" w:color="7F7F7F"/>
        </w:tcBorders>
        <w:shd w:val="clear" w:color="FFFFFF"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FFFFFF" w:fill="FFFFFF"/>
      </w:tcPr>
    </w:tblStylePr>
    <w:tblStylePr w:type="lastCol">
      <w:rPr>
        <w:rFonts w:ascii="Calibri Light" w:eastAsia="Times New Roman" w:hAnsi="Calibri Light" w:cs="Times New Roman"/>
        <w:i/>
        <w:iCs/>
        <w:sz w:val="26"/>
      </w:rPr>
      <w:tblPr/>
      <w:tcPr>
        <w:tcBorders>
          <w:left w:val="single" w:sz="4" w:space="0" w:color="7F7F7F"/>
        </w:tcBorders>
        <w:shd w:val="clear" w:color="FFFFFF" w:fill="FFFFFF"/>
      </w:tcPr>
    </w:tblStylePr>
    <w:tblStylePr w:type="band1Vert">
      <w:tblPr/>
      <w:tcPr>
        <w:shd w:val="clear" w:color="F2F2F2" w:fill="F2F2F2"/>
      </w:tcPr>
    </w:tblStylePr>
    <w:tblStylePr w:type="band1Horz">
      <w:tblPr/>
      <w:tcPr>
        <w:shd w:val="clear" w:color="F2F2F2"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Gitternetztabelle1hell2">
    <w:name w:val="Gitternetztabelle 1 hell2"/>
    <w:basedOn w:val="NormaleTabelle"/>
    <w:next w:val="Gitternetztabelle1hell"/>
    <w:uiPriority w:val="46"/>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Gitternetztabelle22">
    <w:name w:val="Gitternetztabelle 22"/>
    <w:basedOn w:val="NormaleTabelle"/>
    <w:next w:val="Gitternetztabelle2"/>
    <w:uiPriority w:val="47"/>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FFFFFF"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FFFFFF" w:fill="FFFFFF"/>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Gitternetztabelle32">
    <w:name w:val="Gitternetztabelle 32"/>
    <w:basedOn w:val="NormaleTabelle"/>
    <w:next w:val="Gitternetztabelle3"/>
    <w:uiPriority w:val="48"/>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FFFFFF"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FFFFFF"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band1Vert">
      <w:tblPr/>
      <w:tcPr>
        <w:shd w:val="clear" w:color="CCCCCC" w:fill="CCCCCC"/>
      </w:tcPr>
    </w:tblStylePr>
    <w:tblStylePr w:type="band1Horz">
      <w:tblPr/>
      <w:tcPr>
        <w:shd w:val="clear" w:color="CCCCCC"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itternetztabelle42">
    <w:name w:val="Gitternetztabelle 42"/>
    <w:basedOn w:val="NormaleTabelle"/>
    <w:next w:val="Gitternetztabelle4"/>
    <w:uiPriority w:val="49"/>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000000"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Gitternetztabelle5dunkel2">
    <w:name w:val="Gitternetztabelle 5 dunkel2"/>
    <w:basedOn w:val="NormaleTabelle"/>
    <w:next w:val="Gitternetztabelle5dunkel"/>
    <w:uiPriority w:val="5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CCCCCC"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000000"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000000"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000000"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000000" w:fill="000000"/>
      </w:tcPr>
    </w:tblStylePr>
    <w:tblStylePr w:type="band1Vert">
      <w:tblPr/>
      <w:tcPr>
        <w:shd w:val="clear" w:color="999999" w:fill="999999"/>
      </w:tcPr>
    </w:tblStylePr>
    <w:tblStylePr w:type="band1Horz">
      <w:tblPr/>
      <w:tcPr>
        <w:shd w:val="clear" w:color="999999" w:fill="999999"/>
      </w:tcPr>
    </w:tblStylePr>
  </w:style>
  <w:style w:type="table" w:customStyle="1" w:styleId="Gritternetztabelle6farbig2">
    <w:name w:val="Gritternetztabelle 6 farbig2"/>
    <w:basedOn w:val="NormaleTabelle"/>
    <w:next w:val="Gitternetztabelle6farbig"/>
    <w:uiPriority w:val="51"/>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Gritternetztabelle7farbig2">
    <w:name w:val="Gritternetztabelle 7 farbig2"/>
    <w:basedOn w:val="NormaleTabelle"/>
    <w:next w:val="Gitternetztabelle7farbig"/>
    <w:uiPriority w:val="52"/>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FFFFFF"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FFFFFF"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band1Vert">
      <w:tblPr/>
      <w:tcPr>
        <w:shd w:val="clear" w:color="CCCCCC" w:fill="CCCCCC"/>
      </w:tcPr>
    </w:tblStylePr>
    <w:tblStylePr w:type="band1Horz">
      <w:tblPr/>
      <w:tcPr>
        <w:shd w:val="clear" w:color="CCCCCC"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entabelle1hell2">
    <w:name w:val="Listentabelle 1 hell2"/>
    <w:basedOn w:val="NormaleTabelle"/>
    <w:next w:val="Listentabelle1hell"/>
    <w:uiPriority w:val="46"/>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22">
    <w:name w:val="Listentabelle 22"/>
    <w:basedOn w:val="NormaleTabelle"/>
    <w:next w:val="Listentabelle2"/>
    <w:uiPriority w:val="47"/>
    <w:pPr>
      <w:spacing w:after="0" w:line="240" w:lineRule="auto"/>
    </w:pPr>
    <w:rPr>
      <w:rFonts w:ascii="Calibri" w:eastAsia="Calibri" w:hAnsi="Calibri"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32">
    <w:name w:val="Listentabelle 32"/>
    <w:basedOn w:val="NormaleTabelle"/>
    <w:next w:val="Listentabelle3"/>
    <w:uiPriority w:val="48"/>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000000" w:fill="000000"/>
      </w:tcPr>
    </w:tblStylePr>
    <w:tblStylePr w:type="lastRow">
      <w:rPr>
        <w:b/>
        <w:bCs/>
      </w:rPr>
      <w:tblPr/>
      <w:tcPr>
        <w:tcBorders>
          <w:top w:val="single" w:sz="4" w:space="0" w:color="000000"/>
        </w:tcBorders>
        <w:shd w:val="clear" w:color="FFFFFF" w:fill="FFFFFF"/>
      </w:tcPr>
    </w:tblStylePr>
    <w:tblStylePr w:type="firstCol">
      <w:rPr>
        <w:b/>
        <w:bCs/>
      </w:rPr>
      <w:tblPr/>
      <w:tcPr>
        <w:tcBorders>
          <w:right w:val="none" w:sz="4" w:space="0" w:color="000000"/>
        </w:tcBorders>
        <w:shd w:val="clear" w:color="FFFFFF" w:fill="FFFFFF"/>
      </w:tcPr>
    </w:tblStylePr>
    <w:tblStylePr w:type="lastCol">
      <w:rPr>
        <w:b/>
        <w:bCs/>
      </w:rPr>
      <w:tblPr/>
      <w:tcPr>
        <w:tcBorders>
          <w:left w:val="none" w:sz="4" w:space="0" w:color="000000"/>
        </w:tcBorders>
        <w:shd w:val="clear" w:color="FFFFFF"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Listentabelle42">
    <w:name w:val="Listentabelle 42"/>
    <w:basedOn w:val="NormaleTabelle"/>
    <w:next w:val="Listentabelle4"/>
    <w:uiPriority w:val="49"/>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000000"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5dunkel2">
    <w:name w:val="Listentabelle 5 dunkel2"/>
    <w:basedOn w:val="NormaleTabelle"/>
    <w:next w:val="Listentabelle5dunkel"/>
    <w:uiPriority w:val="50"/>
    <w:pPr>
      <w:spacing w:after="0" w:line="240" w:lineRule="auto"/>
    </w:pPr>
    <w:rPr>
      <w:rFonts w:ascii="Calibri" w:eastAsia="Calibri" w:hAnsi="Calibri" w:cs="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000000"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Listentabelle6farbig2">
    <w:name w:val="Listentabelle 6 farbig2"/>
    <w:basedOn w:val="NormaleTabelle"/>
    <w:next w:val="Listentabelle6farbig"/>
    <w:uiPriority w:val="51"/>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7farbig2">
    <w:name w:val="Listentabelle 7 farbig2"/>
    <w:basedOn w:val="NormaleTabelle"/>
    <w:next w:val="Listentabelle7farbig"/>
    <w:uiPriority w:val="52"/>
    <w:pPr>
      <w:spacing w:after="0" w:line="240" w:lineRule="auto"/>
    </w:pPr>
    <w:rPr>
      <w:rFonts w:ascii="Calibri" w:eastAsia="Calibri" w:hAnsi="Calibri" w:cs="Times New Roman"/>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FFFFFF" w:fill="FFFFFF"/>
      </w:tcPr>
    </w:tblStylePr>
    <w:tblStylePr w:type="lastRow">
      <w:rPr>
        <w:rFonts w:ascii="Calibri Light" w:eastAsia="Times New Roman" w:hAnsi="Calibri Light" w:cs="Times New Roman"/>
        <w:i/>
        <w:iCs/>
        <w:sz w:val="26"/>
      </w:rPr>
      <w:tblPr/>
      <w:tcPr>
        <w:tcBorders>
          <w:top w:val="single" w:sz="4" w:space="0" w:color="000000"/>
        </w:tcBorders>
        <w:shd w:val="clear" w:color="FFFFFF"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FFFFFF" w:fill="FFFFFF"/>
      </w:tcPr>
    </w:tblStylePr>
    <w:tblStylePr w:type="lastCol">
      <w:rPr>
        <w:rFonts w:ascii="Calibri Light" w:eastAsia="Times New Roman" w:hAnsi="Calibri Light" w:cs="Times New Roman"/>
        <w:i/>
        <w:iCs/>
        <w:sz w:val="26"/>
      </w:rPr>
      <w:tblPr/>
      <w:tcPr>
        <w:tcBorders>
          <w:left w:val="single" w:sz="4" w:space="0" w:color="000000"/>
        </w:tcBorders>
        <w:shd w:val="clear" w:color="FFFFFF" w:fill="FFFFFF"/>
      </w:tcPr>
    </w:tblStylePr>
    <w:tblStylePr w:type="band1Vert">
      <w:tblPr/>
      <w:tcPr>
        <w:shd w:val="clear" w:color="CCCCCC" w:fill="CCCCCC"/>
      </w:tcPr>
    </w:tblStylePr>
    <w:tblStylePr w:type="band1Horz">
      <w:tblPr/>
      <w:tcPr>
        <w:shd w:val="clear" w:color="CCCCCC"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customStyle="1" w:styleId="titel10">
    <w:name w:val="titel1"/>
    <w:basedOn w:val="Titel"/>
    <w:pPr>
      <w:pBdr>
        <w:bottom w:val="none" w:sz="0" w:space="0" w:color="auto"/>
      </w:pBdr>
      <w:tabs>
        <w:tab w:val="left" w:pos="709"/>
      </w:tabs>
      <w:spacing w:before="120" w:after="120"/>
      <w:outlineLvl w:val="0"/>
    </w:pPr>
    <w:rPr>
      <w:rFonts w:eastAsia="Times New Roman" w:cs="Times New Roman"/>
      <w:bCs/>
      <w:sz w:val="20"/>
      <w:lang w:eastAsia="de-DE"/>
    </w:rPr>
  </w:style>
  <w:style w:type="table" w:customStyle="1" w:styleId="Tabellenraster3">
    <w:name w:val="Tabellenraster3"/>
    <w:basedOn w:val="NormaleTabelle"/>
    <w:next w:val="Tabellenraster"/>
    <w:uiPriority w:val="59"/>
    <w:pPr>
      <w:spacing w:after="0" w:line="250" w:lineRule="atLeast"/>
    </w:pPr>
    <w:rPr>
      <w:rFonts w:ascii="Times New Roman" w:eastAsia="Times New Roman" w:hAnsi="Times New Roman"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1">
    <w:name w:val="Nicht aufgelöste Erwähnung1"/>
    <w:basedOn w:val="Absatz-Standardschriftart"/>
    <w:uiPriority w:val="99"/>
    <w:semiHidden/>
    <w:unhideWhenUsed/>
    <w:rsid w:val="007976FF"/>
    <w:rPr>
      <w:color w:val="605E5C"/>
      <w:shd w:val="clear" w:color="auto" w:fill="E1DFDD"/>
    </w:rPr>
  </w:style>
  <w:style w:type="paragraph" w:styleId="Literaturverzeichnis">
    <w:name w:val="Bibliography"/>
    <w:basedOn w:val="Standard"/>
    <w:next w:val="Standard"/>
    <w:uiPriority w:val="37"/>
    <w:unhideWhenUsed/>
    <w:rsid w:val="00583734"/>
    <w:pPr>
      <w:tabs>
        <w:tab w:val="left" w:pos="504"/>
      </w:tabs>
      <w:spacing w:after="0" w:line="240" w:lineRule="auto"/>
      <w:ind w:left="504" w:hanging="504"/>
    </w:pPr>
  </w:style>
  <w:style w:type="character" w:styleId="NichtaufgelsteErwhnung">
    <w:name w:val="Unresolved Mention"/>
    <w:basedOn w:val="Absatz-Standardschriftart"/>
    <w:uiPriority w:val="99"/>
    <w:semiHidden/>
    <w:unhideWhenUsed/>
    <w:rsid w:val="007C6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28703">
      <w:bodyDiv w:val="1"/>
      <w:marLeft w:val="0"/>
      <w:marRight w:val="0"/>
      <w:marTop w:val="0"/>
      <w:marBottom w:val="0"/>
      <w:divBdr>
        <w:top w:val="none" w:sz="0" w:space="0" w:color="auto"/>
        <w:left w:val="none" w:sz="0" w:space="0" w:color="auto"/>
        <w:bottom w:val="none" w:sz="0" w:space="0" w:color="auto"/>
        <w:right w:val="none" w:sz="0" w:space="0" w:color="auto"/>
      </w:divBdr>
    </w:div>
    <w:div w:id="21278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26" Type="http://schemas.openxmlformats.org/officeDocument/2006/relationships/image" Target="media/image40.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wissmedic.ch/swissmedic/de/home/humanarzneimittel/marktueberwachung/haemovigila%20nce/haemovigilance-reporting.html"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image" Target="media/image20.emf"/><Relationship Id="rId29" Type="http://schemas.openxmlformats.org/officeDocument/2006/relationships/hyperlink" Target="http://www.blutspende.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ssmedic.ch/swissmedic/de/home/humanarzneimittel/marktueberwachung/haemovigilance.html" TargetMode="External"/><Relationship Id="rId24" Type="http://schemas.openxmlformats.org/officeDocument/2006/relationships/hyperlink" Target="https://www.swissmedic.ch/swissmedic/it/home/medicamenti-per-uso-umano/sorveglianza-del-mercato/haemovigilance.html" TargetMode="External"/><Relationship Id="rId32" Type="http://schemas.openxmlformats.org/officeDocument/2006/relationships/hyperlink" Target="mailto:stefanie.mast@blutspende.ch"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www.swissmedic.ch/swissmedic/de/home/humanarzneimittel/marktueberwachung/haemovigilance.html" TargetMode="External"/><Relationship Id="rId28" Type="http://schemas.openxmlformats.org/officeDocument/2006/relationships/image" Target="media/image50.png"/><Relationship Id="rId10" Type="http://schemas.openxmlformats.org/officeDocument/2006/relationships/endnotes" Target="endnotes.xml"/><Relationship Id="rId31" Type="http://schemas.openxmlformats.org/officeDocument/2006/relationships/hyperlink" Target="http://www.svtm-asmt.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0.emf"/><Relationship Id="rId27" Type="http://schemas.openxmlformats.org/officeDocument/2006/relationships/image" Target="media/image5.png"/><Relationship Id="rId30" Type="http://schemas.openxmlformats.org/officeDocument/2006/relationships/hyperlink" Target="mailto:info@blutspende.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8C2B2729-D82B-4E51-81DC-954F7BD47C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17fab6-c57c-44f4-b221-fe31be8d3829"/>
    <ds:schemaRef ds:uri="4875b00e-0e80-45e4-8a69-b2ded7bd0253"/>
    <ds:schemaRef ds:uri="http://www.w3.org/XML/1998/namespace"/>
    <ds:schemaRef ds:uri="http://purl.org/dc/dcmitype/"/>
  </ds:schemaRefs>
</ds:datastoreItem>
</file>

<file path=customXml/itemProps2.xml><?xml version="1.0" encoding="utf-8"?>
<ds:datastoreItem xmlns:ds="http://schemas.openxmlformats.org/officeDocument/2006/customXml" ds:itemID="{F389C012-C444-4C18-8878-5683BCEF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5b00e-0e80-45e4-8a69-b2ded7bd0253"/>
    <ds:schemaRef ds:uri="f817fab6-c57c-44f4-b221-fe31be8d3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ED014-589F-4668-989F-B56692846249}">
  <ds:schemaRefs>
    <ds:schemaRef ds:uri="http://schemas.microsoft.com/sharepoint/v3/contenttype/forms"/>
  </ds:schemaRefs>
</ds:datastoreItem>
</file>

<file path=customXml/itemProps4.xml><?xml version="1.0" encoding="utf-8"?>
<ds:datastoreItem xmlns:ds="http://schemas.openxmlformats.org/officeDocument/2006/customXml" ds:itemID="{9AADD125-E2FE-4534-A7BE-69228410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22751</Words>
  <Characters>143334</Characters>
  <Application>Microsoft Office Word</Application>
  <DocSecurity>0</DocSecurity>
  <Lines>1194</Lines>
  <Paragraphs>331</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Blutspende SRK Schweiz AG</Company>
  <LinksUpToDate>false</LinksUpToDate>
  <CharactersWithSpaces>165754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Mast</dc:creator>
  <cp:keywords/>
  <dc:description/>
  <cp:lastModifiedBy>Stefanie Mast</cp:lastModifiedBy>
  <cp:revision>32</cp:revision>
  <cp:lastPrinted>2023-12-18T08:18:00Z</cp:lastPrinted>
  <dcterms:created xsi:type="dcterms:W3CDTF">2022-12-16T21:32:00Z</dcterms:created>
  <dcterms:modified xsi:type="dcterms:W3CDTF">2024-03-26T12:37:00Z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0x01010043B0AB715400554DAD0C2CFAC0DAD0F7</vt:lpwstr>
  </property>
  <property fmtid="{D5CDD505-2E9C-101B-9397-08002B2CF9AE}" pid="3" name="ZOTERO_PREF_1">
    <vt:lpwstr>&lt;data data-version="3" zotero-version="5.0.96.3"&gt;&lt;session id="BPV3k4LN"/&gt;&lt;style id="http://www.zotero.org/styles/ieee" locale="en-US" hasBibliography="1" bibliographyStyleHasBeenSet="1"/&gt;&lt;prefs&gt;&lt;pref name="fieldType" value="Field"/&gt;&lt;pref name="automaticJo</vt:lpwstr>
  </property>
  <property fmtid="{D5CDD505-2E9C-101B-9397-08002B2CF9AE}" pid="4" name="ZOTERO_PREF_2">
    <vt:lpwstr>urnalAbbreviations" value="true"/&gt;&lt;/prefs&gt;&lt;/data&gt;</vt:lpwstr>
  </property>
</Properties>
</file>